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7C8" w:rsidRDefault="00987C7E" w:rsidP="00987C7E">
      <w:pPr>
        <w:jc w:val="center"/>
      </w:pPr>
      <w:r>
        <w:rPr>
          <w:rFonts w:ascii="Times New Roman" w:hAnsi="Times New Roman" w:cs="Times New Roman"/>
          <w:noProof/>
          <w:sz w:val="28"/>
          <w:szCs w:val="28"/>
          <w:lang w:eastAsia="tr-TR"/>
        </w:rPr>
        <w:drawing>
          <wp:inline distT="0" distB="0" distL="0" distR="0" wp14:anchorId="54CDF5EF" wp14:editId="7C60A4EB">
            <wp:extent cx="2926780" cy="1074347"/>
            <wp:effectExtent l="0" t="0" r="0" b="0"/>
            <wp:docPr id="1" name="Resim 1" descr="C:\Users\pc\AppData\Local\Microsoft\Windows\INetCache\Content.Word\Subu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c\AppData\Local\Microsoft\Windows\INetCache\Content.Word\Subu_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82634" cy="1094850"/>
                    </a:xfrm>
                    <a:prstGeom prst="rect">
                      <a:avLst/>
                    </a:prstGeom>
                    <a:noFill/>
                    <a:ln>
                      <a:noFill/>
                    </a:ln>
                  </pic:spPr>
                </pic:pic>
              </a:graphicData>
            </a:graphic>
          </wp:inline>
        </w:drawing>
      </w:r>
    </w:p>
    <w:p w:rsidR="00987C7E" w:rsidRPr="009041DA" w:rsidRDefault="00987C7E" w:rsidP="00987C7E">
      <w:pPr>
        <w:pStyle w:val="Balk3"/>
        <w:ind w:left="426"/>
        <w:jc w:val="center"/>
        <w:rPr>
          <w:rFonts w:ascii="Times New Roman" w:hAnsi="Times New Roman" w:cs="Times New Roman"/>
          <w:sz w:val="40"/>
          <w:szCs w:val="40"/>
        </w:rPr>
      </w:pPr>
      <w:r w:rsidRPr="009041DA">
        <w:rPr>
          <w:rFonts w:ascii="Times New Roman" w:hAnsi="Times New Roman" w:cs="Times New Roman"/>
          <w:sz w:val="40"/>
          <w:szCs w:val="40"/>
        </w:rPr>
        <w:t xml:space="preserve">Erasmus+ </w:t>
      </w:r>
    </w:p>
    <w:p w:rsidR="00142C3E" w:rsidRPr="009041DA" w:rsidRDefault="00987C7E" w:rsidP="00142C3E">
      <w:pPr>
        <w:pStyle w:val="Balk3"/>
        <w:ind w:left="426"/>
        <w:jc w:val="center"/>
        <w:rPr>
          <w:rFonts w:ascii="Times New Roman" w:hAnsi="Times New Roman" w:cs="Times New Roman"/>
          <w:i/>
          <w:sz w:val="32"/>
          <w:szCs w:val="32"/>
          <w:u w:val="single"/>
        </w:rPr>
      </w:pPr>
      <w:r>
        <w:rPr>
          <w:rFonts w:ascii="Times New Roman" w:hAnsi="Times New Roman" w:cs="Times New Roman"/>
          <w:i/>
          <w:sz w:val="32"/>
          <w:szCs w:val="32"/>
          <w:u w:val="single"/>
        </w:rPr>
        <w:t xml:space="preserve">Öğrenci; Öğrenim ve Staj </w:t>
      </w:r>
      <w:r w:rsidRPr="009041DA">
        <w:rPr>
          <w:rFonts w:ascii="Times New Roman" w:hAnsi="Times New Roman" w:cs="Times New Roman"/>
          <w:i/>
          <w:sz w:val="32"/>
          <w:szCs w:val="32"/>
          <w:u w:val="single"/>
        </w:rPr>
        <w:t>Hareketliliği</w:t>
      </w:r>
      <w:r w:rsidR="00142C3E">
        <w:rPr>
          <w:rFonts w:ascii="Times New Roman" w:hAnsi="Times New Roman" w:cs="Times New Roman"/>
          <w:i/>
          <w:sz w:val="32"/>
          <w:szCs w:val="32"/>
          <w:u w:val="single"/>
        </w:rPr>
        <w:t xml:space="preserve"> Süreci Bilgilendirme</w:t>
      </w:r>
    </w:p>
    <w:p w:rsidR="00987C7E" w:rsidRDefault="00987C7E" w:rsidP="00987C7E"/>
    <w:tbl>
      <w:tblPr>
        <w:tblW w:w="95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4"/>
        <w:gridCol w:w="4601"/>
      </w:tblGrid>
      <w:tr w:rsidR="00987C7E" w:rsidRPr="00EC3F84" w:rsidTr="00EF2DC9">
        <w:trPr>
          <w:tblCellSpacing w:w="0" w:type="dxa"/>
        </w:trPr>
        <w:tc>
          <w:tcPr>
            <w:tcW w:w="4954" w:type="dxa"/>
            <w:tcBorders>
              <w:top w:val="outset" w:sz="6" w:space="0" w:color="auto"/>
              <w:left w:val="outset" w:sz="6" w:space="0" w:color="auto"/>
              <w:bottom w:val="outset" w:sz="6" w:space="0" w:color="auto"/>
              <w:right w:val="outset" w:sz="6" w:space="0" w:color="auto"/>
            </w:tcBorders>
            <w:hideMark/>
          </w:tcPr>
          <w:p w:rsidR="00987C7E" w:rsidRPr="00EC3F84" w:rsidRDefault="00987C7E" w:rsidP="00EF2DC9">
            <w:pPr>
              <w:rPr>
                <w:rFonts w:ascii="Times New Roman" w:eastAsia="Times New Roman" w:hAnsi="Times New Roman" w:cs="Times New Roman"/>
                <w:bCs/>
                <w:color w:val="373737"/>
                <w:sz w:val="20"/>
                <w:szCs w:val="20"/>
                <w:lang w:eastAsia="tr-TR"/>
              </w:rPr>
            </w:pPr>
            <w:r w:rsidRPr="00EC3F84">
              <w:rPr>
                <w:rFonts w:ascii="Times New Roman" w:eastAsia="Times New Roman" w:hAnsi="Times New Roman" w:cs="Times New Roman"/>
                <w:bCs/>
                <w:color w:val="373737"/>
                <w:sz w:val="20"/>
                <w:szCs w:val="20"/>
                <w:lang w:eastAsia="tr-TR"/>
              </w:rPr>
              <w:t>Erasmus+ Öğrenim/Staj Hareketliliği Başvuru Tarihleri</w:t>
            </w:r>
          </w:p>
        </w:tc>
        <w:tc>
          <w:tcPr>
            <w:tcW w:w="4601" w:type="dxa"/>
            <w:tcBorders>
              <w:top w:val="outset" w:sz="6" w:space="0" w:color="auto"/>
              <w:left w:val="outset" w:sz="6" w:space="0" w:color="auto"/>
              <w:bottom w:val="outset" w:sz="6" w:space="0" w:color="auto"/>
              <w:right w:val="outset" w:sz="6" w:space="0" w:color="auto"/>
            </w:tcBorders>
            <w:hideMark/>
          </w:tcPr>
          <w:p w:rsidR="00987C7E" w:rsidRPr="00EC3F84" w:rsidRDefault="00987C7E" w:rsidP="00EF2DC9">
            <w:pPr>
              <w:rPr>
                <w:rFonts w:ascii="Times New Roman" w:eastAsia="Times New Roman" w:hAnsi="Times New Roman" w:cs="Times New Roman"/>
                <w:bCs/>
                <w:color w:val="373737"/>
                <w:sz w:val="20"/>
                <w:szCs w:val="20"/>
                <w:lang w:eastAsia="tr-TR"/>
              </w:rPr>
            </w:pPr>
            <w:r w:rsidRPr="00EC3F84">
              <w:rPr>
                <w:rFonts w:ascii="Times New Roman" w:eastAsia="Times New Roman" w:hAnsi="Times New Roman" w:cs="Times New Roman"/>
                <w:bCs/>
                <w:color w:val="373737"/>
                <w:sz w:val="20"/>
                <w:szCs w:val="20"/>
                <w:lang w:eastAsia="tr-TR"/>
              </w:rPr>
              <w:t xml:space="preserve">  30 Aralık 2019 – 03 Şubat 2020</w:t>
            </w:r>
          </w:p>
        </w:tc>
      </w:tr>
      <w:tr w:rsidR="00987C7E" w:rsidRPr="00EC3F84" w:rsidTr="00EF2DC9">
        <w:trPr>
          <w:tblCellSpacing w:w="0" w:type="dxa"/>
        </w:trPr>
        <w:tc>
          <w:tcPr>
            <w:tcW w:w="4954" w:type="dxa"/>
            <w:tcBorders>
              <w:top w:val="outset" w:sz="6" w:space="0" w:color="auto"/>
              <w:left w:val="outset" w:sz="6" w:space="0" w:color="auto"/>
              <w:bottom w:val="outset" w:sz="6" w:space="0" w:color="auto"/>
              <w:right w:val="outset" w:sz="6" w:space="0" w:color="auto"/>
            </w:tcBorders>
            <w:hideMark/>
          </w:tcPr>
          <w:p w:rsidR="00987C7E" w:rsidRPr="00EC3F84" w:rsidRDefault="00987C7E" w:rsidP="00EF2DC9">
            <w:pPr>
              <w:rPr>
                <w:rFonts w:ascii="Times New Roman" w:eastAsia="Times New Roman" w:hAnsi="Times New Roman" w:cs="Times New Roman"/>
                <w:bCs/>
                <w:color w:val="373737"/>
                <w:sz w:val="20"/>
                <w:szCs w:val="20"/>
                <w:lang w:eastAsia="tr-TR"/>
              </w:rPr>
            </w:pPr>
            <w:r w:rsidRPr="00EC3F84">
              <w:rPr>
                <w:rFonts w:ascii="Times New Roman" w:eastAsia="Times New Roman" w:hAnsi="Times New Roman" w:cs="Times New Roman"/>
                <w:bCs/>
                <w:color w:val="373737"/>
                <w:sz w:val="20"/>
                <w:szCs w:val="20"/>
                <w:lang w:eastAsia="tr-TR"/>
              </w:rPr>
              <w:t xml:space="preserve"> Erasmus+ Öğrenim/Staj Hareketliliği Başvuru Yeri</w:t>
            </w:r>
          </w:p>
        </w:tc>
        <w:tc>
          <w:tcPr>
            <w:tcW w:w="4601" w:type="dxa"/>
            <w:tcBorders>
              <w:top w:val="outset" w:sz="6" w:space="0" w:color="auto"/>
              <w:left w:val="outset" w:sz="6" w:space="0" w:color="auto"/>
              <w:bottom w:val="outset" w:sz="6" w:space="0" w:color="auto"/>
              <w:right w:val="outset" w:sz="6" w:space="0" w:color="auto"/>
            </w:tcBorders>
            <w:hideMark/>
          </w:tcPr>
          <w:p w:rsidR="00987C7E" w:rsidRPr="00EC3F84" w:rsidRDefault="00987C7E" w:rsidP="00EF2DC9">
            <w:pPr>
              <w:rPr>
                <w:rFonts w:ascii="Times New Roman" w:eastAsia="Times New Roman" w:hAnsi="Times New Roman" w:cs="Times New Roman"/>
                <w:b/>
                <w:bCs/>
                <w:color w:val="373737"/>
                <w:sz w:val="20"/>
                <w:szCs w:val="20"/>
                <w:lang w:eastAsia="tr-TR"/>
              </w:rPr>
            </w:pPr>
            <w:r w:rsidRPr="00EC3F84">
              <w:rPr>
                <w:rFonts w:ascii="Times New Roman" w:eastAsia="Times New Roman" w:hAnsi="Times New Roman" w:cs="Times New Roman"/>
                <w:bCs/>
                <w:color w:val="373737"/>
                <w:sz w:val="20"/>
                <w:szCs w:val="20"/>
                <w:lang w:eastAsia="tr-TR"/>
              </w:rPr>
              <w:t xml:space="preserve">  </w:t>
            </w:r>
            <w:r w:rsidRPr="00EC3F84">
              <w:rPr>
                <w:rFonts w:ascii="Times New Roman" w:eastAsia="Times New Roman" w:hAnsi="Times New Roman" w:cs="Times New Roman"/>
                <w:b/>
                <w:bCs/>
                <w:color w:val="0070C0"/>
                <w:sz w:val="20"/>
                <w:szCs w:val="20"/>
                <w:lang w:eastAsia="tr-TR"/>
              </w:rPr>
              <w:t xml:space="preserve">www.degisim.sabis.subu.edu.tr </w:t>
            </w:r>
          </w:p>
        </w:tc>
      </w:tr>
      <w:tr w:rsidR="00987C7E" w:rsidRPr="00EC3F84" w:rsidTr="00EF2DC9">
        <w:trPr>
          <w:tblCellSpacing w:w="0" w:type="dxa"/>
        </w:trPr>
        <w:tc>
          <w:tcPr>
            <w:tcW w:w="4954" w:type="dxa"/>
            <w:tcBorders>
              <w:top w:val="outset" w:sz="6" w:space="0" w:color="auto"/>
              <w:left w:val="outset" w:sz="6" w:space="0" w:color="auto"/>
              <w:bottom w:val="outset" w:sz="6" w:space="0" w:color="auto"/>
              <w:right w:val="outset" w:sz="6" w:space="0" w:color="auto"/>
            </w:tcBorders>
            <w:hideMark/>
          </w:tcPr>
          <w:p w:rsidR="00987C7E" w:rsidRPr="00EC3F84" w:rsidRDefault="00987C7E" w:rsidP="00EF2DC9">
            <w:pPr>
              <w:rPr>
                <w:rFonts w:ascii="Times New Roman" w:eastAsia="Times New Roman" w:hAnsi="Times New Roman" w:cs="Times New Roman"/>
                <w:bCs/>
                <w:color w:val="373737"/>
                <w:sz w:val="20"/>
                <w:szCs w:val="20"/>
                <w:lang w:eastAsia="tr-TR"/>
              </w:rPr>
            </w:pPr>
            <w:r w:rsidRPr="00EC3F84">
              <w:rPr>
                <w:rFonts w:ascii="Times New Roman" w:eastAsia="Times New Roman" w:hAnsi="Times New Roman" w:cs="Times New Roman"/>
                <w:bCs/>
                <w:color w:val="373737"/>
                <w:sz w:val="20"/>
                <w:szCs w:val="20"/>
                <w:lang w:eastAsia="tr-TR"/>
              </w:rPr>
              <w:t xml:space="preserve"> Erasmus+ Öğrenim/Staj Hareketliliği Dil Sınavı Tarihi</w:t>
            </w:r>
          </w:p>
        </w:tc>
        <w:tc>
          <w:tcPr>
            <w:tcW w:w="4601" w:type="dxa"/>
            <w:tcBorders>
              <w:top w:val="outset" w:sz="6" w:space="0" w:color="auto"/>
              <w:left w:val="outset" w:sz="6" w:space="0" w:color="auto"/>
              <w:bottom w:val="outset" w:sz="6" w:space="0" w:color="auto"/>
              <w:right w:val="outset" w:sz="6" w:space="0" w:color="auto"/>
            </w:tcBorders>
            <w:hideMark/>
          </w:tcPr>
          <w:p w:rsidR="00987C7E" w:rsidRPr="00EC3F84" w:rsidRDefault="00987C7E" w:rsidP="00EF2DC9">
            <w:pPr>
              <w:rPr>
                <w:rFonts w:ascii="Times New Roman" w:eastAsia="Times New Roman" w:hAnsi="Times New Roman" w:cs="Times New Roman"/>
                <w:bCs/>
                <w:color w:val="373737"/>
                <w:sz w:val="20"/>
                <w:szCs w:val="20"/>
                <w:lang w:eastAsia="tr-TR"/>
              </w:rPr>
            </w:pPr>
            <w:r w:rsidRPr="00EC3F84">
              <w:rPr>
                <w:rFonts w:ascii="Times New Roman" w:eastAsia="Times New Roman" w:hAnsi="Times New Roman" w:cs="Times New Roman"/>
                <w:bCs/>
                <w:color w:val="373737"/>
                <w:sz w:val="20"/>
                <w:szCs w:val="20"/>
                <w:lang w:eastAsia="tr-TR"/>
              </w:rPr>
              <w:t xml:space="preserve">  12 Şubat 2020</w:t>
            </w:r>
          </w:p>
        </w:tc>
      </w:tr>
      <w:tr w:rsidR="00987C7E" w:rsidRPr="00EC3F84" w:rsidTr="00EF2DC9">
        <w:trPr>
          <w:trHeight w:val="251"/>
          <w:tblCellSpacing w:w="0" w:type="dxa"/>
        </w:trPr>
        <w:tc>
          <w:tcPr>
            <w:tcW w:w="4954" w:type="dxa"/>
            <w:tcBorders>
              <w:top w:val="outset" w:sz="6" w:space="0" w:color="auto"/>
              <w:left w:val="outset" w:sz="6" w:space="0" w:color="auto"/>
              <w:bottom w:val="outset" w:sz="6" w:space="0" w:color="auto"/>
              <w:right w:val="outset" w:sz="6" w:space="0" w:color="auto"/>
            </w:tcBorders>
          </w:tcPr>
          <w:p w:rsidR="00987C7E" w:rsidRPr="00EC3F84" w:rsidRDefault="00987C7E" w:rsidP="00EF2DC9">
            <w:pPr>
              <w:rPr>
                <w:rFonts w:ascii="Times New Roman" w:eastAsia="Times New Roman" w:hAnsi="Times New Roman" w:cs="Times New Roman"/>
                <w:bCs/>
                <w:color w:val="373737"/>
                <w:sz w:val="20"/>
                <w:szCs w:val="20"/>
                <w:lang w:eastAsia="tr-TR"/>
              </w:rPr>
            </w:pPr>
            <w:r w:rsidRPr="00EC3F84">
              <w:rPr>
                <w:rFonts w:ascii="Times New Roman" w:eastAsia="Times New Roman" w:hAnsi="Times New Roman" w:cs="Times New Roman"/>
                <w:bCs/>
                <w:color w:val="373737"/>
                <w:sz w:val="20"/>
                <w:szCs w:val="20"/>
                <w:lang w:eastAsia="tr-TR"/>
              </w:rPr>
              <w:t xml:space="preserve"> Sonuçlara itiraz süresi </w:t>
            </w:r>
          </w:p>
        </w:tc>
        <w:tc>
          <w:tcPr>
            <w:tcW w:w="4601" w:type="dxa"/>
            <w:tcBorders>
              <w:top w:val="outset" w:sz="6" w:space="0" w:color="auto"/>
              <w:left w:val="outset" w:sz="6" w:space="0" w:color="auto"/>
              <w:bottom w:val="outset" w:sz="6" w:space="0" w:color="auto"/>
              <w:right w:val="outset" w:sz="6" w:space="0" w:color="auto"/>
            </w:tcBorders>
          </w:tcPr>
          <w:p w:rsidR="00987C7E" w:rsidRPr="00EC3F84" w:rsidRDefault="00987C7E" w:rsidP="00EF2DC9">
            <w:pPr>
              <w:rPr>
                <w:rFonts w:ascii="Times New Roman" w:eastAsia="Times New Roman" w:hAnsi="Times New Roman" w:cs="Times New Roman"/>
                <w:bCs/>
                <w:color w:val="373737"/>
                <w:sz w:val="20"/>
                <w:szCs w:val="20"/>
                <w:lang w:eastAsia="tr-TR"/>
              </w:rPr>
            </w:pPr>
            <w:r w:rsidRPr="00EC3F84">
              <w:rPr>
                <w:rFonts w:ascii="Times New Roman" w:eastAsia="Times New Roman" w:hAnsi="Times New Roman" w:cs="Times New Roman"/>
                <w:bCs/>
                <w:color w:val="373737"/>
                <w:sz w:val="20"/>
                <w:szCs w:val="20"/>
                <w:lang w:eastAsia="tr-TR"/>
              </w:rPr>
              <w:t xml:space="preserve">  Sonuçların ilanını takiben 7 gün içerisinde</w:t>
            </w:r>
          </w:p>
        </w:tc>
      </w:tr>
    </w:tbl>
    <w:p w:rsidR="00987C7E" w:rsidRDefault="00987C7E" w:rsidP="00987C7E"/>
    <w:p w:rsidR="00987C7E" w:rsidRPr="00EC3F84" w:rsidRDefault="00987C7E" w:rsidP="00987C7E">
      <w:pPr>
        <w:jc w:val="center"/>
        <w:rPr>
          <w:rFonts w:ascii="Times New Roman" w:eastAsia="Times New Roman" w:hAnsi="Times New Roman" w:cs="Times New Roman"/>
          <w:b/>
          <w:bCs/>
          <w:color w:val="373737"/>
          <w:sz w:val="24"/>
          <w:szCs w:val="24"/>
          <w:lang w:eastAsia="tr-TR"/>
        </w:rPr>
      </w:pPr>
      <w:r w:rsidRPr="00EC3F84">
        <w:rPr>
          <w:rFonts w:ascii="Times New Roman" w:eastAsia="Times New Roman" w:hAnsi="Times New Roman" w:cs="Times New Roman"/>
          <w:b/>
          <w:bCs/>
          <w:color w:val="373737"/>
          <w:sz w:val="24"/>
          <w:szCs w:val="24"/>
          <w:lang w:eastAsia="tr-TR"/>
        </w:rPr>
        <w:t>ERASMUS+ ÖĞRENİM&amp;STAJ HAREKETLİLİĞİ BAŞVURU KOŞULLARI</w:t>
      </w:r>
    </w:p>
    <w:p w:rsidR="00987C7E" w:rsidRPr="00EC3F84" w:rsidRDefault="00987C7E" w:rsidP="00987C7E">
      <w:pPr>
        <w:rPr>
          <w:rFonts w:ascii="Times New Roman" w:eastAsia="Times New Roman" w:hAnsi="Times New Roman" w:cs="Times New Roman"/>
          <w:bCs/>
          <w:color w:val="373737"/>
          <w:sz w:val="20"/>
          <w:szCs w:val="20"/>
          <w:lang w:eastAsia="tr-TR"/>
        </w:rPr>
      </w:pPr>
      <w:r w:rsidRPr="00EC3F84">
        <w:rPr>
          <w:rFonts w:ascii="Times New Roman" w:eastAsia="Times New Roman" w:hAnsi="Times New Roman" w:cs="Times New Roman"/>
          <w:bCs/>
          <w:color w:val="373737"/>
          <w:sz w:val="20"/>
          <w:szCs w:val="20"/>
          <w:lang w:eastAsia="tr-TR"/>
        </w:rPr>
        <w:t>1. Sakarya Uygulamalı Bilimler Üniversitesi’ne kayıtlı öğrenci olmak (ön lisans, lisans, lisansüstü),</w:t>
      </w:r>
    </w:p>
    <w:p w:rsidR="00987C7E" w:rsidRPr="00EC3F84" w:rsidRDefault="00987C7E" w:rsidP="00987C7E">
      <w:pPr>
        <w:rPr>
          <w:rFonts w:ascii="Times New Roman" w:eastAsia="Times New Roman" w:hAnsi="Times New Roman" w:cs="Times New Roman"/>
          <w:bCs/>
          <w:color w:val="373737"/>
          <w:sz w:val="20"/>
          <w:szCs w:val="20"/>
          <w:lang w:eastAsia="tr-TR"/>
        </w:rPr>
      </w:pPr>
      <w:r w:rsidRPr="00EC3F84">
        <w:rPr>
          <w:rFonts w:ascii="Times New Roman" w:eastAsia="Times New Roman" w:hAnsi="Times New Roman" w:cs="Times New Roman"/>
          <w:bCs/>
          <w:color w:val="373737"/>
          <w:sz w:val="20"/>
          <w:szCs w:val="20"/>
          <w:lang w:eastAsia="tr-TR"/>
        </w:rPr>
        <w:t>2. En az bir ders dönemini tamamlamış olmak (Hazırlık Sınıfı öğrencileri başvuruda bulunamaz.). Ön lisans ve lisans programlarının birinci sınıfında okuyan öğrenciler hareketlilik faaliyetinden yararlanamaz. (Birinci sınıfta okurken başvurularak, ikinci sınıftayken hareketlilikten yararlanılabilinir).</w:t>
      </w:r>
    </w:p>
    <w:p w:rsidR="00987C7E" w:rsidRPr="00EC3F84" w:rsidRDefault="00987C7E" w:rsidP="00987C7E">
      <w:pPr>
        <w:rPr>
          <w:rFonts w:ascii="Times New Roman" w:eastAsia="Times New Roman" w:hAnsi="Times New Roman" w:cs="Times New Roman"/>
          <w:bCs/>
          <w:color w:val="373737"/>
          <w:sz w:val="20"/>
          <w:szCs w:val="20"/>
          <w:lang w:eastAsia="tr-TR"/>
        </w:rPr>
      </w:pPr>
      <w:r w:rsidRPr="00EC3F84">
        <w:rPr>
          <w:rFonts w:ascii="Times New Roman" w:eastAsia="Times New Roman" w:hAnsi="Times New Roman" w:cs="Times New Roman"/>
          <w:bCs/>
          <w:color w:val="373737"/>
          <w:sz w:val="20"/>
          <w:szCs w:val="20"/>
          <w:lang w:eastAsia="tr-TR"/>
        </w:rPr>
        <w:t>3.</w:t>
      </w:r>
    </w:p>
    <w:tbl>
      <w:tblPr>
        <w:tblStyle w:val="TabloKlavuzu"/>
        <w:tblW w:w="0" w:type="auto"/>
        <w:tblLook w:val="04A0" w:firstRow="1" w:lastRow="0" w:firstColumn="1" w:lastColumn="0" w:noHBand="0" w:noVBand="1"/>
      </w:tblPr>
      <w:tblGrid>
        <w:gridCol w:w="5098"/>
        <w:gridCol w:w="3964"/>
      </w:tblGrid>
      <w:tr w:rsidR="00987C7E" w:rsidRPr="00EC3F84" w:rsidTr="00EF2DC9">
        <w:tc>
          <w:tcPr>
            <w:tcW w:w="5098" w:type="dxa"/>
          </w:tcPr>
          <w:p w:rsidR="00987C7E" w:rsidRPr="00EC3F84" w:rsidRDefault="00987C7E" w:rsidP="00437E09">
            <w:pPr>
              <w:spacing w:after="160" w:line="259" w:lineRule="auto"/>
              <w:jc w:val="center"/>
              <w:rPr>
                <w:rFonts w:ascii="Times New Roman" w:eastAsia="Times New Roman" w:hAnsi="Times New Roman" w:cs="Times New Roman"/>
                <w:bCs/>
                <w:color w:val="373737"/>
                <w:sz w:val="20"/>
                <w:szCs w:val="20"/>
                <w:lang w:eastAsia="tr-TR"/>
              </w:rPr>
            </w:pPr>
            <w:r w:rsidRPr="00EC3F84">
              <w:rPr>
                <w:rFonts w:ascii="Times New Roman" w:eastAsia="Times New Roman" w:hAnsi="Times New Roman" w:cs="Times New Roman"/>
                <w:bCs/>
                <w:color w:val="373737"/>
                <w:sz w:val="20"/>
                <w:szCs w:val="20"/>
                <w:lang w:eastAsia="tr-TR"/>
              </w:rPr>
              <w:t>Ön lisans ve lisans öğrencileri için</w:t>
            </w:r>
          </w:p>
        </w:tc>
        <w:tc>
          <w:tcPr>
            <w:tcW w:w="3964" w:type="dxa"/>
          </w:tcPr>
          <w:p w:rsidR="00987C7E" w:rsidRPr="00EC3F84" w:rsidRDefault="00776D36" w:rsidP="00776D36">
            <w:pPr>
              <w:spacing w:after="160" w:line="259" w:lineRule="auto"/>
              <w:jc w:val="center"/>
              <w:rPr>
                <w:rFonts w:ascii="Times New Roman" w:eastAsia="Times New Roman" w:hAnsi="Times New Roman" w:cs="Times New Roman"/>
                <w:bCs/>
                <w:color w:val="373737"/>
                <w:sz w:val="20"/>
                <w:szCs w:val="20"/>
                <w:lang w:eastAsia="tr-TR"/>
              </w:rPr>
            </w:pPr>
            <w:r>
              <w:rPr>
                <w:rFonts w:ascii="Times New Roman" w:eastAsia="Times New Roman" w:hAnsi="Times New Roman" w:cs="Times New Roman"/>
                <w:bCs/>
                <w:color w:val="373737"/>
                <w:sz w:val="20"/>
                <w:szCs w:val="20"/>
                <w:lang w:eastAsia="tr-TR"/>
              </w:rPr>
              <w:t xml:space="preserve">Gelen </w:t>
            </w:r>
            <w:r w:rsidR="00987C7E" w:rsidRPr="00EC3F84">
              <w:rPr>
                <w:rFonts w:ascii="Times New Roman" w:eastAsia="Times New Roman" w:hAnsi="Times New Roman" w:cs="Times New Roman"/>
                <w:bCs/>
                <w:color w:val="373737"/>
                <w:sz w:val="20"/>
                <w:szCs w:val="20"/>
                <w:lang w:eastAsia="tr-TR"/>
              </w:rPr>
              <w:t>akademik not</w:t>
            </w:r>
            <w:r>
              <w:rPr>
                <w:rFonts w:ascii="Times New Roman" w:eastAsia="Times New Roman" w:hAnsi="Times New Roman" w:cs="Times New Roman"/>
                <w:bCs/>
                <w:color w:val="373737"/>
                <w:sz w:val="20"/>
                <w:szCs w:val="20"/>
                <w:lang w:eastAsia="tr-TR"/>
              </w:rPr>
              <w:t xml:space="preserve"> ortalaması en az </w:t>
            </w:r>
            <w:r w:rsidR="00987C7E" w:rsidRPr="00EC3F84">
              <w:rPr>
                <w:rFonts w:ascii="Times New Roman" w:eastAsia="Times New Roman" w:hAnsi="Times New Roman" w:cs="Times New Roman"/>
                <w:bCs/>
                <w:color w:val="373737"/>
                <w:sz w:val="20"/>
                <w:szCs w:val="20"/>
                <w:lang w:eastAsia="tr-TR"/>
              </w:rPr>
              <w:t>2.20</w:t>
            </w:r>
          </w:p>
        </w:tc>
      </w:tr>
      <w:tr w:rsidR="00987C7E" w:rsidRPr="00EC3F84" w:rsidTr="00EF2DC9">
        <w:tc>
          <w:tcPr>
            <w:tcW w:w="5098" w:type="dxa"/>
          </w:tcPr>
          <w:p w:rsidR="00987C7E" w:rsidRPr="00EC3F84" w:rsidRDefault="00987C7E" w:rsidP="00437E09">
            <w:pPr>
              <w:spacing w:after="160" w:line="259" w:lineRule="auto"/>
              <w:jc w:val="center"/>
              <w:rPr>
                <w:rFonts w:ascii="Times New Roman" w:eastAsia="Times New Roman" w:hAnsi="Times New Roman" w:cs="Times New Roman"/>
                <w:bCs/>
                <w:color w:val="373737"/>
                <w:sz w:val="20"/>
                <w:szCs w:val="20"/>
                <w:lang w:eastAsia="tr-TR"/>
              </w:rPr>
            </w:pPr>
            <w:r w:rsidRPr="00EC3F84">
              <w:rPr>
                <w:rFonts w:ascii="Times New Roman" w:eastAsia="Times New Roman" w:hAnsi="Times New Roman" w:cs="Times New Roman"/>
                <w:bCs/>
                <w:color w:val="373737"/>
                <w:sz w:val="20"/>
                <w:szCs w:val="20"/>
                <w:lang w:eastAsia="tr-TR"/>
              </w:rPr>
              <w:t>Lisansüstü (Yüksek Lisans/Doktora) öğrencileri için</w:t>
            </w:r>
          </w:p>
        </w:tc>
        <w:tc>
          <w:tcPr>
            <w:tcW w:w="3964" w:type="dxa"/>
          </w:tcPr>
          <w:p w:rsidR="00987C7E" w:rsidRPr="00EC3F84" w:rsidRDefault="00776D36" w:rsidP="00437E09">
            <w:pPr>
              <w:spacing w:after="160" w:line="259" w:lineRule="auto"/>
              <w:jc w:val="center"/>
              <w:rPr>
                <w:rFonts w:ascii="Times New Roman" w:eastAsia="Times New Roman" w:hAnsi="Times New Roman" w:cs="Times New Roman"/>
                <w:bCs/>
                <w:color w:val="373737"/>
                <w:sz w:val="20"/>
                <w:szCs w:val="20"/>
                <w:lang w:eastAsia="tr-TR"/>
              </w:rPr>
            </w:pPr>
            <w:r>
              <w:rPr>
                <w:rFonts w:ascii="Times New Roman" w:eastAsia="Times New Roman" w:hAnsi="Times New Roman" w:cs="Times New Roman"/>
                <w:bCs/>
                <w:color w:val="373737"/>
                <w:sz w:val="20"/>
                <w:szCs w:val="20"/>
                <w:lang w:eastAsia="tr-TR"/>
              </w:rPr>
              <w:t xml:space="preserve">Gelen </w:t>
            </w:r>
            <w:r w:rsidRPr="00EC3F84">
              <w:rPr>
                <w:rFonts w:ascii="Times New Roman" w:eastAsia="Times New Roman" w:hAnsi="Times New Roman" w:cs="Times New Roman"/>
                <w:bCs/>
                <w:color w:val="373737"/>
                <w:sz w:val="20"/>
                <w:szCs w:val="20"/>
                <w:lang w:eastAsia="tr-TR"/>
              </w:rPr>
              <w:t>akademik not</w:t>
            </w:r>
            <w:r>
              <w:rPr>
                <w:rFonts w:ascii="Times New Roman" w:eastAsia="Times New Roman" w:hAnsi="Times New Roman" w:cs="Times New Roman"/>
                <w:bCs/>
                <w:color w:val="373737"/>
                <w:sz w:val="20"/>
                <w:szCs w:val="20"/>
                <w:lang w:eastAsia="tr-TR"/>
              </w:rPr>
              <w:t xml:space="preserve"> ortalaması en az</w:t>
            </w:r>
            <w:r w:rsidRPr="00EC3F84">
              <w:rPr>
                <w:rFonts w:ascii="Times New Roman" w:eastAsia="Times New Roman" w:hAnsi="Times New Roman" w:cs="Times New Roman"/>
                <w:bCs/>
                <w:color w:val="373737"/>
                <w:sz w:val="20"/>
                <w:szCs w:val="20"/>
                <w:lang w:eastAsia="tr-TR"/>
              </w:rPr>
              <w:t xml:space="preserve"> </w:t>
            </w:r>
            <w:r w:rsidR="00987C7E" w:rsidRPr="00EC3F84">
              <w:rPr>
                <w:rFonts w:ascii="Times New Roman" w:eastAsia="Times New Roman" w:hAnsi="Times New Roman" w:cs="Times New Roman"/>
                <w:bCs/>
                <w:color w:val="373737"/>
                <w:sz w:val="20"/>
                <w:szCs w:val="20"/>
                <w:lang w:eastAsia="tr-TR"/>
              </w:rPr>
              <w:t>2.50</w:t>
            </w:r>
          </w:p>
        </w:tc>
      </w:tr>
    </w:tbl>
    <w:p w:rsidR="00987C7E" w:rsidRPr="00EC3F84" w:rsidRDefault="00987C7E" w:rsidP="00987C7E">
      <w:pPr>
        <w:rPr>
          <w:rFonts w:ascii="Times New Roman" w:eastAsia="Times New Roman" w:hAnsi="Times New Roman" w:cs="Times New Roman"/>
          <w:bCs/>
          <w:color w:val="373737"/>
          <w:sz w:val="20"/>
          <w:szCs w:val="20"/>
          <w:lang w:eastAsia="tr-TR"/>
        </w:rPr>
      </w:pPr>
    </w:p>
    <w:p w:rsidR="00987C7E" w:rsidRDefault="00987C7E" w:rsidP="00634E33">
      <w:pPr>
        <w:rPr>
          <w:rFonts w:ascii="Times New Roman" w:eastAsia="Times New Roman" w:hAnsi="Times New Roman" w:cs="Times New Roman"/>
          <w:bCs/>
          <w:color w:val="373737"/>
          <w:sz w:val="20"/>
          <w:szCs w:val="20"/>
          <w:lang w:eastAsia="tr-TR"/>
        </w:rPr>
      </w:pPr>
      <w:r w:rsidRPr="00EC3F84">
        <w:rPr>
          <w:rFonts w:ascii="Times New Roman" w:eastAsia="Times New Roman" w:hAnsi="Times New Roman" w:cs="Times New Roman"/>
          <w:bCs/>
          <w:color w:val="373737"/>
          <w:sz w:val="20"/>
          <w:szCs w:val="20"/>
          <w:lang w:eastAsia="tr-TR"/>
        </w:rPr>
        <w:t>4. Erasmu</w:t>
      </w:r>
      <w:r w:rsidR="000605DE">
        <w:rPr>
          <w:rFonts w:ascii="Times New Roman" w:eastAsia="Times New Roman" w:hAnsi="Times New Roman" w:cs="Times New Roman"/>
          <w:bCs/>
          <w:color w:val="373737"/>
          <w:sz w:val="20"/>
          <w:szCs w:val="20"/>
          <w:lang w:eastAsia="tr-TR"/>
        </w:rPr>
        <w:t>s+ Öğrenim Hareketliliği için 65</w:t>
      </w:r>
      <w:r w:rsidRPr="00EC3F84">
        <w:rPr>
          <w:rFonts w:ascii="Times New Roman" w:eastAsia="Times New Roman" w:hAnsi="Times New Roman" w:cs="Times New Roman"/>
          <w:bCs/>
          <w:color w:val="373737"/>
          <w:sz w:val="20"/>
          <w:szCs w:val="20"/>
          <w:lang w:eastAsia="tr-TR"/>
        </w:rPr>
        <w:t>, Erasmus+ Staj Hareketliliği için 50 dil puanına sahip olmak</w:t>
      </w:r>
    </w:p>
    <w:p w:rsidR="00987C7E" w:rsidRDefault="00987C7E" w:rsidP="00987C7E">
      <w:pPr>
        <w:jc w:val="center"/>
        <w:rPr>
          <w:rFonts w:ascii="Times New Roman" w:eastAsia="Times New Roman" w:hAnsi="Times New Roman" w:cs="Times New Roman"/>
          <w:b/>
          <w:bCs/>
          <w:color w:val="373737"/>
          <w:sz w:val="24"/>
          <w:szCs w:val="24"/>
          <w:lang w:eastAsia="tr-TR"/>
        </w:rPr>
      </w:pPr>
      <w:r w:rsidRPr="00EC3F84">
        <w:rPr>
          <w:rFonts w:ascii="Times New Roman" w:eastAsia="Times New Roman" w:hAnsi="Times New Roman" w:cs="Times New Roman"/>
          <w:b/>
          <w:bCs/>
          <w:color w:val="373737"/>
          <w:sz w:val="24"/>
          <w:szCs w:val="24"/>
          <w:lang w:eastAsia="tr-TR"/>
        </w:rPr>
        <w:t>BAŞVURU NASIL YAPILIR?</w:t>
      </w:r>
    </w:p>
    <w:p w:rsidR="00987C7E" w:rsidRDefault="00987C7E" w:rsidP="00987C7E">
      <w:pPr>
        <w:rPr>
          <w:rFonts w:ascii="Times New Roman" w:eastAsia="Times New Roman" w:hAnsi="Times New Roman" w:cs="Times New Roman"/>
          <w:bCs/>
          <w:color w:val="373737"/>
          <w:sz w:val="20"/>
          <w:szCs w:val="20"/>
          <w:lang w:eastAsia="tr-TR"/>
        </w:rPr>
      </w:pPr>
      <w:r w:rsidRPr="00EC3F84">
        <w:rPr>
          <w:rFonts w:ascii="Times New Roman" w:eastAsia="Times New Roman" w:hAnsi="Times New Roman" w:cs="Times New Roman"/>
          <w:bCs/>
          <w:color w:val="373737"/>
          <w:sz w:val="20"/>
          <w:szCs w:val="20"/>
          <w:lang w:eastAsia="tr-TR"/>
        </w:rPr>
        <w:t>Başvurular </w:t>
      </w:r>
      <w:r w:rsidRPr="00EC3F84">
        <w:rPr>
          <w:rFonts w:ascii="Times New Roman" w:eastAsia="Times New Roman" w:hAnsi="Times New Roman" w:cs="Times New Roman"/>
          <w:b/>
          <w:bCs/>
          <w:color w:val="0070C0"/>
          <w:sz w:val="20"/>
          <w:szCs w:val="20"/>
          <w:u w:val="single"/>
          <w:lang w:eastAsia="tr-TR"/>
        </w:rPr>
        <w:t>www.degisim.sabis.subu.edu.tr</w:t>
      </w:r>
      <w:r w:rsidRPr="00EC3F84">
        <w:rPr>
          <w:rFonts w:ascii="Times New Roman" w:eastAsia="Times New Roman" w:hAnsi="Times New Roman" w:cs="Times New Roman"/>
          <w:bCs/>
          <w:color w:val="373737"/>
          <w:sz w:val="20"/>
          <w:szCs w:val="20"/>
          <w:lang w:eastAsia="tr-TR"/>
        </w:rPr>
        <w:t> adresinden online olarak alınacaktır. Başvuruda bulunan öğrenciler başvurularına güncel transkript belgelerini yüklemeleri gerekmektedir. Ayrıca Üniversitemiz tarafından düzenlenen Değişim Programları Yabancı Dil Sınavına girmeyip başka bir yabancı dil belgesi olan öğrencilerimiz dil belgelerini de yükleyeceklerdir. </w:t>
      </w:r>
    </w:p>
    <w:p w:rsidR="00987C7E" w:rsidRPr="00EC3F84" w:rsidRDefault="00987C7E" w:rsidP="00987C7E">
      <w:pPr>
        <w:jc w:val="center"/>
        <w:rPr>
          <w:rFonts w:ascii="Times New Roman" w:eastAsia="Times New Roman" w:hAnsi="Times New Roman" w:cs="Times New Roman"/>
          <w:b/>
          <w:bCs/>
          <w:color w:val="373737"/>
          <w:sz w:val="24"/>
          <w:szCs w:val="24"/>
          <w:lang w:eastAsia="tr-TR"/>
        </w:rPr>
      </w:pPr>
      <w:r w:rsidRPr="00EC3F84">
        <w:rPr>
          <w:rFonts w:ascii="Times New Roman" w:eastAsia="Times New Roman" w:hAnsi="Times New Roman" w:cs="Times New Roman"/>
          <w:b/>
          <w:bCs/>
          <w:color w:val="373737"/>
          <w:sz w:val="24"/>
          <w:szCs w:val="24"/>
          <w:lang w:eastAsia="tr-TR"/>
        </w:rPr>
        <w:t>YABANCI DİL BELGESİ</w:t>
      </w:r>
    </w:p>
    <w:p w:rsidR="00987C7E" w:rsidRPr="006959E6" w:rsidRDefault="00987C7E" w:rsidP="006959E6">
      <w:pPr>
        <w:pStyle w:val="ListeParagraf"/>
        <w:numPr>
          <w:ilvl w:val="0"/>
          <w:numId w:val="3"/>
        </w:numPr>
        <w:tabs>
          <w:tab w:val="num" w:pos="720"/>
        </w:tabs>
        <w:rPr>
          <w:rFonts w:ascii="Times New Roman" w:eastAsia="Times New Roman" w:hAnsi="Times New Roman" w:cs="Times New Roman"/>
          <w:bCs/>
          <w:color w:val="373737"/>
          <w:sz w:val="20"/>
          <w:szCs w:val="20"/>
          <w:lang w:eastAsia="tr-TR"/>
        </w:rPr>
      </w:pPr>
      <w:r w:rsidRPr="006959E6">
        <w:rPr>
          <w:rFonts w:ascii="Times New Roman" w:eastAsia="Times New Roman" w:hAnsi="Times New Roman" w:cs="Times New Roman"/>
          <w:bCs/>
          <w:color w:val="373737"/>
          <w:sz w:val="20"/>
          <w:szCs w:val="20"/>
          <w:lang w:eastAsia="tr-TR"/>
        </w:rPr>
        <w:t>Sakarya Uygulamalı Bilimler Üniversitesi Değişim Programları Yabancı Dil Sınavı Belgesi (13 Şubat 2020 tarihinde 2020</w:t>
      </w:r>
      <w:r w:rsidR="006959E6">
        <w:rPr>
          <w:rFonts w:ascii="Times New Roman" w:eastAsia="Times New Roman" w:hAnsi="Times New Roman" w:cs="Times New Roman"/>
          <w:bCs/>
          <w:color w:val="373737"/>
          <w:sz w:val="20"/>
          <w:szCs w:val="20"/>
          <w:lang w:eastAsia="tr-TR"/>
        </w:rPr>
        <w:t>-2021 akademik yılı için yapılacak</w:t>
      </w:r>
      <w:r w:rsidRPr="006959E6">
        <w:rPr>
          <w:rFonts w:ascii="Times New Roman" w:eastAsia="Times New Roman" w:hAnsi="Times New Roman" w:cs="Times New Roman"/>
          <w:bCs/>
          <w:color w:val="373737"/>
          <w:sz w:val="20"/>
          <w:szCs w:val="20"/>
          <w:lang w:eastAsia="tr-TR"/>
        </w:rPr>
        <w:t xml:space="preserve"> sınav),</w:t>
      </w:r>
    </w:p>
    <w:p w:rsidR="00485634" w:rsidRPr="006959E6" w:rsidRDefault="00987C7E" w:rsidP="006959E6">
      <w:pPr>
        <w:pStyle w:val="ListeParagraf"/>
        <w:numPr>
          <w:ilvl w:val="0"/>
          <w:numId w:val="3"/>
        </w:numPr>
        <w:tabs>
          <w:tab w:val="num" w:pos="720"/>
        </w:tabs>
        <w:rPr>
          <w:rStyle w:val="Kpr"/>
          <w:rFonts w:ascii="Times New Roman" w:hAnsi="Times New Roman" w:cs="Times New Roman"/>
        </w:rPr>
      </w:pPr>
      <w:r w:rsidRPr="006959E6">
        <w:rPr>
          <w:rFonts w:ascii="Times New Roman" w:eastAsia="Times New Roman" w:hAnsi="Times New Roman" w:cs="Times New Roman"/>
          <w:bCs/>
          <w:color w:val="373737"/>
          <w:sz w:val="20"/>
          <w:szCs w:val="20"/>
          <w:lang w:eastAsia="tr-TR"/>
        </w:rPr>
        <w:t xml:space="preserve">ÖSYM tarafından eşdeğerliği kabul edilmiş ve son 5 yıl içinde alınan ulusal ve uluslararası dil sınavı belgesi </w:t>
      </w:r>
      <w:hyperlink r:id="rId6" w:history="1">
        <w:r w:rsidRPr="006959E6">
          <w:rPr>
            <w:rStyle w:val="Kpr"/>
            <w:rFonts w:ascii="Times New Roman" w:hAnsi="Times New Roman" w:cs="Times New Roman"/>
            <w:sz w:val="20"/>
            <w:szCs w:val="20"/>
          </w:rPr>
          <w:t>https://denklik.yok.gov.tr/yabanci-dil-esdegerlikleri</w:t>
        </w:r>
      </w:hyperlink>
    </w:p>
    <w:p w:rsidR="00776D36" w:rsidRDefault="006959E6" w:rsidP="00246F7E">
      <w:pPr>
        <w:tabs>
          <w:tab w:val="num" w:pos="720"/>
        </w:tabs>
        <w:rPr>
          <w:rFonts w:ascii="Times New Roman" w:hAnsi="Times New Roman" w:cs="Times New Roman"/>
          <w:color w:val="0563C1" w:themeColor="hyperlink"/>
          <w:u w:val="single"/>
        </w:rPr>
      </w:pPr>
      <w:r w:rsidRPr="00900D33">
        <w:rPr>
          <w:rFonts w:ascii="Times New Roman" w:eastAsia="Times New Roman" w:hAnsi="Times New Roman" w:cs="Times New Roman"/>
          <w:b/>
          <w:bCs/>
          <w:color w:val="FF0000"/>
          <w:sz w:val="20"/>
          <w:szCs w:val="20"/>
          <w:lang w:eastAsia="tr-TR"/>
        </w:rPr>
        <w:t>Erasmus+ Seçim ve Değerlendirme Komisyon</w:t>
      </w:r>
      <w:r>
        <w:rPr>
          <w:rFonts w:ascii="Times New Roman" w:eastAsia="Times New Roman" w:hAnsi="Times New Roman" w:cs="Times New Roman"/>
          <w:b/>
          <w:bCs/>
          <w:color w:val="FF0000"/>
          <w:sz w:val="20"/>
          <w:szCs w:val="20"/>
          <w:lang w:eastAsia="tr-TR"/>
        </w:rPr>
        <w:t>un 24.12.2019 tarihli toplantısı 02 no’lu kararınca İngilizce Sınavları Eşdeğerlilikleri tablosu aşağıdaki gibidir:</w:t>
      </w:r>
    </w:p>
    <w:p w:rsidR="00776D36" w:rsidRDefault="00776D36" w:rsidP="00246F7E">
      <w:pPr>
        <w:tabs>
          <w:tab w:val="num" w:pos="720"/>
        </w:tabs>
        <w:rPr>
          <w:rFonts w:ascii="Times New Roman" w:hAnsi="Times New Roman" w:cs="Times New Roman"/>
          <w:color w:val="0563C1" w:themeColor="hyperlink"/>
          <w:u w:val="single"/>
        </w:rPr>
      </w:pPr>
    </w:p>
    <w:p w:rsidR="006959E6" w:rsidRPr="00246F7E" w:rsidRDefault="006959E6" w:rsidP="00246F7E">
      <w:pPr>
        <w:tabs>
          <w:tab w:val="num" w:pos="720"/>
        </w:tabs>
        <w:rPr>
          <w:rFonts w:ascii="Times New Roman" w:hAnsi="Times New Roman" w:cs="Times New Roman"/>
          <w:color w:val="0563C1" w:themeColor="hyperlink"/>
          <w:u w:val="single"/>
        </w:rPr>
      </w:pPr>
    </w:p>
    <w:p w:rsidR="00246F7E" w:rsidRDefault="00485634" w:rsidP="00246F7E">
      <w:pPr>
        <w:jc w:val="center"/>
        <w:rPr>
          <w:rFonts w:ascii="Times New Roman" w:hAnsi="Times New Roman" w:cs="Times New Roman"/>
        </w:rPr>
      </w:pPr>
      <w:r>
        <w:rPr>
          <w:rFonts w:ascii="Times New Roman" w:hAnsi="Times New Roman" w:cs="Times New Roman"/>
          <w:b/>
          <w:sz w:val="24"/>
          <w:szCs w:val="24"/>
        </w:rPr>
        <w:lastRenderedPageBreak/>
        <w:t>İNGİLİZCE SINAVI</w:t>
      </w:r>
      <w:r w:rsidR="00987C7E" w:rsidRPr="00987C7E">
        <w:rPr>
          <w:rFonts w:ascii="Times New Roman" w:hAnsi="Times New Roman" w:cs="Times New Roman"/>
          <w:b/>
          <w:sz w:val="24"/>
          <w:szCs w:val="24"/>
        </w:rPr>
        <w:t xml:space="preserve"> DÜ</w:t>
      </w:r>
      <w:r>
        <w:rPr>
          <w:rFonts w:ascii="Times New Roman" w:hAnsi="Times New Roman" w:cs="Times New Roman"/>
          <w:b/>
          <w:sz w:val="24"/>
          <w:szCs w:val="24"/>
        </w:rPr>
        <w:t>ZEYLERİ EŞDEĞERLİLİKLERİ</w:t>
      </w:r>
    </w:p>
    <w:tbl>
      <w:tblPr>
        <w:tblStyle w:val="TabloKlavuzu"/>
        <w:tblpPr w:leftFromText="141" w:rightFromText="141" w:vertAnchor="page" w:horzAnchor="margin" w:tblpY="2131"/>
        <w:tblW w:w="8926" w:type="dxa"/>
        <w:tblLook w:val="04A0" w:firstRow="1" w:lastRow="0" w:firstColumn="1" w:lastColumn="0" w:noHBand="0" w:noVBand="1"/>
      </w:tblPr>
      <w:tblGrid>
        <w:gridCol w:w="1667"/>
        <w:gridCol w:w="1698"/>
        <w:gridCol w:w="1537"/>
        <w:gridCol w:w="1200"/>
        <w:gridCol w:w="1508"/>
        <w:gridCol w:w="1316"/>
      </w:tblGrid>
      <w:tr w:rsidR="001F479F" w:rsidTr="001F479F">
        <w:trPr>
          <w:trHeight w:val="1365"/>
        </w:trPr>
        <w:tc>
          <w:tcPr>
            <w:tcW w:w="1667" w:type="dxa"/>
            <w:vAlign w:val="center"/>
          </w:tcPr>
          <w:p w:rsidR="001F479F" w:rsidRPr="00BE1EF5" w:rsidRDefault="001F479F" w:rsidP="001F479F">
            <w:pPr>
              <w:jc w:val="center"/>
              <w:rPr>
                <w:b/>
                <w:sz w:val="24"/>
                <w:szCs w:val="24"/>
              </w:rPr>
            </w:pPr>
            <w:r w:rsidRPr="00BE1EF5">
              <w:rPr>
                <w:b/>
                <w:sz w:val="24"/>
                <w:szCs w:val="24"/>
              </w:rPr>
              <w:t>Avrupa Ortak Dil Çerçevesi Seviyeleri</w:t>
            </w:r>
          </w:p>
        </w:tc>
        <w:tc>
          <w:tcPr>
            <w:tcW w:w="1698" w:type="dxa"/>
            <w:vAlign w:val="center"/>
          </w:tcPr>
          <w:p w:rsidR="001F479F" w:rsidRPr="00BE1EF5" w:rsidRDefault="001F479F" w:rsidP="001F479F">
            <w:pPr>
              <w:jc w:val="center"/>
              <w:rPr>
                <w:b/>
                <w:sz w:val="24"/>
                <w:szCs w:val="24"/>
              </w:rPr>
            </w:pPr>
            <w:r w:rsidRPr="00BE1EF5">
              <w:rPr>
                <w:b/>
                <w:sz w:val="24"/>
                <w:szCs w:val="24"/>
              </w:rPr>
              <w:t>İngilizce Hazırlık sınıfı</w:t>
            </w:r>
          </w:p>
          <w:p w:rsidR="001F479F" w:rsidRPr="00BE1EF5" w:rsidRDefault="001F479F" w:rsidP="001F479F">
            <w:pPr>
              <w:jc w:val="center"/>
              <w:rPr>
                <w:b/>
                <w:sz w:val="24"/>
                <w:szCs w:val="24"/>
              </w:rPr>
            </w:pPr>
            <w:r>
              <w:rPr>
                <w:b/>
                <w:sz w:val="24"/>
                <w:szCs w:val="24"/>
              </w:rPr>
              <w:t xml:space="preserve">(SUBÜ - </w:t>
            </w:r>
            <w:r w:rsidRPr="00BE1EF5">
              <w:rPr>
                <w:b/>
                <w:sz w:val="24"/>
                <w:szCs w:val="24"/>
              </w:rPr>
              <w:t>SAÜ)</w:t>
            </w:r>
          </w:p>
        </w:tc>
        <w:tc>
          <w:tcPr>
            <w:tcW w:w="1537" w:type="dxa"/>
            <w:vAlign w:val="center"/>
          </w:tcPr>
          <w:p w:rsidR="001F479F" w:rsidRPr="00BE1EF5" w:rsidRDefault="001F479F" w:rsidP="001F479F">
            <w:pPr>
              <w:jc w:val="center"/>
              <w:rPr>
                <w:b/>
                <w:sz w:val="24"/>
                <w:szCs w:val="24"/>
              </w:rPr>
            </w:pPr>
            <w:r w:rsidRPr="00BE1EF5">
              <w:rPr>
                <w:b/>
                <w:sz w:val="24"/>
                <w:szCs w:val="24"/>
              </w:rPr>
              <w:t>YDS-YÖKDİL</w:t>
            </w:r>
          </w:p>
          <w:p w:rsidR="001F479F" w:rsidRPr="00BE1EF5" w:rsidRDefault="001F479F" w:rsidP="001F479F">
            <w:pPr>
              <w:jc w:val="center"/>
              <w:rPr>
                <w:b/>
                <w:sz w:val="24"/>
                <w:szCs w:val="24"/>
              </w:rPr>
            </w:pPr>
          </w:p>
        </w:tc>
        <w:tc>
          <w:tcPr>
            <w:tcW w:w="1200" w:type="dxa"/>
            <w:vAlign w:val="center"/>
          </w:tcPr>
          <w:p w:rsidR="001F479F" w:rsidRPr="00BE1EF5" w:rsidRDefault="001F479F" w:rsidP="001F479F">
            <w:pPr>
              <w:jc w:val="center"/>
              <w:rPr>
                <w:b/>
                <w:sz w:val="24"/>
                <w:szCs w:val="24"/>
              </w:rPr>
            </w:pPr>
            <w:r w:rsidRPr="00BE1EF5">
              <w:rPr>
                <w:b/>
                <w:sz w:val="24"/>
                <w:szCs w:val="24"/>
              </w:rPr>
              <w:t>TOEFL</w:t>
            </w:r>
          </w:p>
          <w:p w:rsidR="001F479F" w:rsidRPr="00BE1EF5" w:rsidRDefault="001F479F" w:rsidP="001F479F">
            <w:pPr>
              <w:jc w:val="center"/>
              <w:rPr>
                <w:b/>
                <w:sz w:val="24"/>
                <w:szCs w:val="24"/>
              </w:rPr>
            </w:pPr>
            <w:r w:rsidRPr="00BE1EF5">
              <w:rPr>
                <w:b/>
                <w:sz w:val="24"/>
                <w:szCs w:val="24"/>
              </w:rPr>
              <w:t>İBT</w:t>
            </w:r>
          </w:p>
        </w:tc>
        <w:tc>
          <w:tcPr>
            <w:tcW w:w="1508" w:type="dxa"/>
            <w:vAlign w:val="center"/>
          </w:tcPr>
          <w:p w:rsidR="001F479F" w:rsidRPr="00BE1EF5" w:rsidRDefault="001F479F" w:rsidP="001F479F">
            <w:pPr>
              <w:jc w:val="center"/>
              <w:rPr>
                <w:b/>
                <w:sz w:val="24"/>
                <w:szCs w:val="24"/>
              </w:rPr>
            </w:pPr>
            <w:r w:rsidRPr="00BE1EF5">
              <w:rPr>
                <w:b/>
                <w:sz w:val="24"/>
                <w:szCs w:val="24"/>
              </w:rPr>
              <w:t>PTE</w:t>
            </w:r>
          </w:p>
          <w:p w:rsidR="001F479F" w:rsidRPr="00BE1EF5" w:rsidRDefault="001F479F" w:rsidP="001F479F">
            <w:pPr>
              <w:jc w:val="center"/>
              <w:rPr>
                <w:b/>
                <w:sz w:val="24"/>
                <w:szCs w:val="24"/>
              </w:rPr>
            </w:pPr>
            <w:r w:rsidRPr="00BE1EF5">
              <w:rPr>
                <w:b/>
                <w:sz w:val="24"/>
                <w:szCs w:val="24"/>
              </w:rPr>
              <w:t>Academic</w:t>
            </w:r>
          </w:p>
        </w:tc>
        <w:tc>
          <w:tcPr>
            <w:tcW w:w="1316" w:type="dxa"/>
            <w:vAlign w:val="center"/>
          </w:tcPr>
          <w:p w:rsidR="001F479F" w:rsidRPr="00BE1EF5" w:rsidRDefault="001F479F" w:rsidP="001F479F">
            <w:pPr>
              <w:jc w:val="center"/>
              <w:rPr>
                <w:b/>
                <w:sz w:val="24"/>
                <w:szCs w:val="24"/>
              </w:rPr>
            </w:pPr>
            <w:r w:rsidRPr="00BE1EF5">
              <w:rPr>
                <w:b/>
                <w:sz w:val="24"/>
                <w:szCs w:val="24"/>
              </w:rPr>
              <w:t>SAYEM / SADEM</w:t>
            </w:r>
          </w:p>
          <w:p w:rsidR="001F479F" w:rsidRPr="00BE1EF5" w:rsidRDefault="001F479F" w:rsidP="001F479F">
            <w:pPr>
              <w:jc w:val="center"/>
              <w:rPr>
                <w:b/>
                <w:sz w:val="24"/>
                <w:szCs w:val="24"/>
              </w:rPr>
            </w:pPr>
          </w:p>
        </w:tc>
      </w:tr>
      <w:tr w:rsidR="001F479F" w:rsidTr="001F479F">
        <w:trPr>
          <w:trHeight w:val="456"/>
        </w:trPr>
        <w:tc>
          <w:tcPr>
            <w:tcW w:w="1667" w:type="dxa"/>
            <w:shd w:val="clear" w:color="auto" w:fill="BFBFBF" w:themeFill="background1" w:themeFillShade="BF"/>
            <w:vAlign w:val="center"/>
          </w:tcPr>
          <w:p w:rsidR="001F479F" w:rsidRDefault="001F479F" w:rsidP="001F479F">
            <w:pPr>
              <w:jc w:val="center"/>
            </w:pPr>
            <w:r>
              <w:t>A1</w:t>
            </w:r>
          </w:p>
        </w:tc>
        <w:tc>
          <w:tcPr>
            <w:tcW w:w="1698" w:type="dxa"/>
            <w:shd w:val="clear" w:color="auto" w:fill="BFBFBF" w:themeFill="background1" w:themeFillShade="BF"/>
            <w:vAlign w:val="center"/>
          </w:tcPr>
          <w:p w:rsidR="001F479F" w:rsidRDefault="001F479F" w:rsidP="001F479F">
            <w:pPr>
              <w:jc w:val="center"/>
            </w:pPr>
            <w:r>
              <w:t>20-49</w:t>
            </w:r>
          </w:p>
        </w:tc>
        <w:tc>
          <w:tcPr>
            <w:tcW w:w="1537" w:type="dxa"/>
            <w:shd w:val="clear" w:color="auto" w:fill="BFBFBF" w:themeFill="background1" w:themeFillShade="BF"/>
            <w:vAlign w:val="center"/>
          </w:tcPr>
          <w:p w:rsidR="001F479F" w:rsidRDefault="001F479F" w:rsidP="001F479F">
            <w:pPr>
              <w:jc w:val="center"/>
            </w:pPr>
            <w:r>
              <w:t>30</w:t>
            </w:r>
          </w:p>
        </w:tc>
        <w:tc>
          <w:tcPr>
            <w:tcW w:w="1200" w:type="dxa"/>
            <w:shd w:val="clear" w:color="auto" w:fill="BFBFBF" w:themeFill="background1" w:themeFillShade="BF"/>
            <w:vAlign w:val="center"/>
          </w:tcPr>
          <w:p w:rsidR="001F479F" w:rsidRDefault="001F479F" w:rsidP="001F479F">
            <w:pPr>
              <w:jc w:val="center"/>
            </w:pPr>
            <w:r>
              <w:t>-</w:t>
            </w:r>
          </w:p>
        </w:tc>
        <w:tc>
          <w:tcPr>
            <w:tcW w:w="1508" w:type="dxa"/>
            <w:shd w:val="clear" w:color="auto" w:fill="BFBFBF" w:themeFill="background1" w:themeFillShade="BF"/>
            <w:vAlign w:val="center"/>
          </w:tcPr>
          <w:p w:rsidR="001F479F" w:rsidRDefault="001F479F" w:rsidP="001F479F">
            <w:pPr>
              <w:jc w:val="center"/>
            </w:pPr>
            <w:r>
              <w:t>-</w:t>
            </w:r>
          </w:p>
        </w:tc>
        <w:tc>
          <w:tcPr>
            <w:tcW w:w="1316" w:type="dxa"/>
            <w:shd w:val="clear" w:color="auto" w:fill="BFBFBF" w:themeFill="background1" w:themeFillShade="BF"/>
            <w:vAlign w:val="center"/>
          </w:tcPr>
          <w:p w:rsidR="001F479F" w:rsidRPr="00AA71D6" w:rsidRDefault="001F479F" w:rsidP="001F479F">
            <w:pPr>
              <w:jc w:val="center"/>
            </w:pPr>
            <w:r w:rsidRPr="00A47380">
              <w:t>A1 / 20-49</w:t>
            </w:r>
          </w:p>
        </w:tc>
      </w:tr>
      <w:tr w:rsidR="001F479F" w:rsidTr="001F479F">
        <w:trPr>
          <w:trHeight w:val="420"/>
        </w:trPr>
        <w:tc>
          <w:tcPr>
            <w:tcW w:w="1667" w:type="dxa"/>
            <w:vAlign w:val="center"/>
          </w:tcPr>
          <w:p w:rsidR="001F479F" w:rsidRDefault="001F479F" w:rsidP="001F479F">
            <w:pPr>
              <w:jc w:val="center"/>
            </w:pPr>
            <w:r>
              <w:t>A2</w:t>
            </w:r>
          </w:p>
        </w:tc>
        <w:tc>
          <w:tcPr>
            <w:tcW w:w="1698" w:type="dxa"/>
            <w:vAlign w:val="center"/>
          </w:tcPr>
          <w:p w:rsidR="001F479F" w:rsidRDefault="001F479F" w:rsidP="001F479F">
            <w:pPr>
              <w:jc w:val="center"/>
            </w:pPr>
            <w:r>
              <w:t>50-64</w:t>
            </w:r>
          </w:p>
        </w:tc>
        <w:tc>
          <w:tcPr>
            <w:tcW w:w="1537" w:type="dxa"/>
            <w:vAlign w:val="center"/>
          </w:tcPr>
          <w:p w:rsidR="001F479F" w:rsidRDefault="001F479F" w:rsidP="001F479F">
            <w:pPr>
              <w:jc w:val="center"/>
            </w:pPr>
            <w:r>
              <w:t>45</w:t>
            </w:r>
          </w:p>
        </w:tc>
        <w:tc>
          <w:tcPr>
            <w:tcW w:w="1200" w:type="dxa"/>
            <w:vAlign w:val="center"/>
          </w:tcPr>
          <w:p w:rsidR="001F479F" w:rsidRDefault="001F479F" w:rsidP="001F479F">
            <w:pPr>
              <w:jc w:val="center"/>
            </w:pPr>
            <w:r>
              <w:t>50</w:t>
            </w:r>
          </w:p>
        </w:tc>
        <w:tc>
          <w:tcPr>
            <w:tcW w:w="1508" w:type="dxa"/>
            <w:vAlign w:val="center"/>
          </w:tcPr>
          <w:p w:rsidR="001F479F" w:rsidRDefault="001F479F" w:rsidP="001F479F">
            <w:pPr>
              <w:jc w:val="center"/>
            </w:pPr>
            <w:r>
              <w:t>38</w:t>
            </w:r>
          </w:p>
        </w:tc>
        <w:tc>
          <w:tcPr>
            <w:tcW w:w="1316" w:type="dxa"/>
            <w:vAlign w:val="center"/>
          </w:tcPr>
          <w:p w:rsidR="001F479F" w:rsidRPr="00AA71D6" w:rsidRDefault="001F479F" w:rsidP="001F479F">
            <w:pPr>
              <w:jc w:val="center"/>
            </w:pPr>
            <w:r w:rsidRPr="00A47380">
              <w:t>A2 / 50-64</w:t>
            </w:r>
          </w:p>
        </w:tc>
      </w:tr>
      <w:tr w:rsidR="001F479F" w:rsidTr="001F479F">
        <w:trPr>
          <w:trHeight w:val="413"/>
        </w:trPr>
        <w:tc>
          <w:tcPr>
            <w:tcW w:w="1667" w:type="dxa"/>
            <w:vAlign w:val="center"/>
          </w:tcPr>
          <w:p w:rsidR="001F479F" w:rsidRDefault="001F479F" w:rsidP="001F479F">
            <w:pPr>
              <w:jc w:val="center"/>
            </w:pPr>
            <w:r>
              <w:t>B1</w:t>
            </w:r>
          </w:p>
        </w:tc>
        <w:tc>
          <w:tcPr>
            <w:tcW w:w="1698" w:type="dxa"/>
            <w:vAlign w:val="center"/>
          </w:tcPr>
          <w:p w:rsidR="001F479F" w:rsidRDefault="001F479F" w:rsidP="001F479F">
            <w:pPr>
              <w:jc w:val="center"/>
            </w:pPr>
            <w:r>
              <w:t>65-74</w:t>
            </w:r>
          </w:p>
        </w:tc>
        <w:tc>
          <w:tcPr>
            <w:tcW w:w="1537" w:type="dxa"/>
            <w:vAlign w:val="center"/>
          </w:tcPr>
          <w:p w:rsidR="001F479F" w:rsidRDefault="001F479F" w:rsidP="001F479F">
            <w:pPr>
              <w:jc w:val="center"/>
            </w:pPr>
            <w:r>
              <w:t>60</w:t>
            </w:r>
          </w:p>
        </w:tc>
        <w:tc>
          <w:tcPr>
            <w:tcW w:w="1200" w:type="dxa"/>
            <w:vAlign w:val="center"/>
          </w:tcPr>
          <w:p w:rsidR="001F479F" w:rsidRDefault="001F479F" w:rsidP="001F479F">
            <w:pPr>
              <w:jc w:val="center"/>
            </w:pPr>
            <w:r>
              <w:t>72</w:t>
            </w:r>
          </w:p>
        </w:tc>
        <w:tc>
          <w:tcPr>
            <w:tcW w:w="1508" w:type="dxa"/>
            <w:vAlign w:val="center"/>
          </w:tcPr>
          <w:p w:rsidR="001F479F" w:rsidRDefault="001F479F" w:rsidP="001F479F">
            <w:pPr>
              <w:jc w:val="center"/>
            </w:pPr>
            <w:r>
              <w:t>55</w:t>
            </w:r>
          </w:p>
        </w:tc>
        <w:tc>
          <w:tcPr>
            <w:tcW w:w="1316" w:type="dxa"/>
            <w:vAlign w:val="center"/>
          </w:tcPr>
          <w:p w:rsidR="001F479F" w:rsidRPr="00AA71D6" w:rsidRDefault="001F479F" w:rsidP="001F479F">
            <w:pPr>
              <w:jc w:val="center"/>
            </w:pPr>
            <w:r w:rsidRPr="00A47380">
              <w:t>B1 / 65-74</w:t>
            </w:r>
          </w:p>
        </w:tc>
      </w:tr>
      <w:tr w:rsidR="001F479F" w:rsidTr="001F479F">
        <w:trPr>
          <w:trHeight w:val="460"/>
        </w:trPr>
        <w:tc>
          <w:tcPr>
            <w:tcW w:w="1667" w:type="dxa"/>
            <w:vAlign w:val="center"/>
          </w:tcPr>
          <w:p w:rsidR="001F479F" w:rsidRDefault="001F479F" w:rsidP="001F479F">
            <w:pPr>
              <w:jc w:val="center"/>
            </w:pPr>
            <w:r>
              <w:t>B2</w:t>
            </w:r>
          </w:p>
        </w:tc>
        <w:tc>
          <w:tcPr>
            <w:tcW w:w="1698" w:type="dxa"/>
            <w:vAlign w:val="center"/>
          </w:tcPr>
          <w:p w:rsidR="001F479F" w:rsidRDefault="001F479F" w:rsidP="001F479F">
            <w:pPr>
              <w:jc w:val="center"/>
            </w:pPr>
            <w:r>
              <w:t>75-94</w:t>
            </w:r>
          </w:p>
        </w:tc>
        <w:tc>
          <w:tcPr>
            <w:tcW w:w="1537" w:type="dxa"/>
            <w:vAlign w:val="center"/>
          </w:tcPr>
          <w:p w:rsidR="001F479F" w:rsidRDefault="001F479F" w:rsidP="001F479F">
            <w:pPr>
              <w:jc w:val="center"/>
            </w:pPr>
            <w:r>
              <w:t>75</w:t>
            </w:r>
          </w:p>
        </w:tc>
        <w:tc>
          <w:tcPr>
            <w:tcW w:w="1200" w:type="dxa"/>
            <w:vAlign w:val="center"/>
          </w:tcPr>
          <w:p w:rsidR="001F479F" w:rsidRDefault="001F479F" w:rsidP="001F479F">
            <w:pPr>
              <w:jc w:val="center"/>
            </w:pPr>
            <w:r>
              <w:t>84</w:t>
            </w:r>
          </w:p>
        </w:tc>
        <w:tc>
          <w:tcPr>
            <w:tcW w:w="1508" w:type="dxa"/>
            <w:vAlign w:val="center"/>
          </w:tcPr>
          <w:p w:rsidR="001F479F" w:rsidRDefault="001F479F" w:rsidP="001F479F">
            <w:pPr>
              <w:jc w:val="center"/>
            </w:pPr>
            <w:r>
              <w:t>75</w:t>
            </w:r>
          </w:p>
        </w:tc>
        <w:tc>
          <w:tcPr>
            <w:tcW w:w="1316" w:type="dxa"/>
            <w:vAlign w:val="center"/>
          </w:tcPr>
          <w:p w:rsidR="001F479F" w:rsidRPr="00AA71D6" w:rsidRDefault="001F479F" w:rsidP="001F479F">
            <w:pPr>
              <w:jc w:val="center"/>
            </w:pPr>
            <w:r w:rsidRPr="00A47380">
              <w:t>B2 / 75-94</w:t>
            </w:r>
          </w:p>
        </w:tc>
      </w:tr>
      <w:tr w:rsidR="001F479F" w:rsidTr="001F479F">
        <w:trPr>
          <w:trHeight w:val="409"/>
        </w:trPr>
        <w:tc>
          <w:tcPr>
            <w:tcW w:w="1667" w:type="dxa"/>
            <w:vAlign w:val="center"/>
          </w:tcPr>
          <w:p w:rsidR="001F479F" w:rsidRDefault="001F479F" w:rsidP="001F479F">
            <w:pPr>
              <w:jc w:val="center"/>
            </w:pPr>
            <w:r>
              <w:t>C1</w:t>
            </w:r>
          </w:p>
        </w:tc>
        <w:tc>
          <w:tcPr>
            <w:tcW w:w="1698" w:type="dxa"/>
            <w:vAlign w:val="center"/>
          </w:tcPr>
          <w:p w:rsidR="001F479F" w:rsidRDefault="001F479F" w:rsidP="001F479F">
            <w:pPr>
              <w:jc w:val="center"/>
            </w:pPr>
            <w:r>
              <w:t>95</w:t>
            </w:r>
          </w:p>
        </w:tc>
        <w:tc>
          <w:tcPr>
            <w:tcW w:w="1537" w:type="dxa"/>
            <w:vAlign w:val="center"/>
          </w:tcPr>
          <w:p w:rsidR="001F479F" w:rsidRDefault="001F479F" w:rsidP="001F479F">
            <w:pPr>
              <w:jc w:val="center"/>
            </w:pPr>
            <w:r>
              <w:t>95</w:t>
            </w:r>
          </w:p>
        </w:tc>
        <w:tc>
          <w:tcPr>
            <w:tcW w:w="1200" w:type="dxa"/>
            <w:vAlign w:val="center"/>
          </w:tcPr>
          <w:p w:rsidR="001F479F" w:rsidRDefault="001F479F" w:rsidP="001F479F">
            <w:pPr>
              <w:jc w:val="center"/>
            </w:pPr>
            <w:r>
              <w:t>90</w:t>
            </w:r>
          </w:p>
        </w:tc>
        <w:tc>
          <w:tcPr>
            <w:tcW w:w="1508" w:type="dxa"/>
            <w:vAlign w:val="center"/>
          </w:tcPr>
          <w:p w:rsidR="001F479F" w:rsidRDefault="001F479F" w:rsidP="001F479F">
            <w:pPr>
              <w:jc w:val="center"/>
            </w:pPr>
            <w:r>
              <w:t>87</w:t>
            </w:r>
          </w:p>
        </w:tc>
        <w:tc>
          <w:tcPr>
            <w:tcW w:w="1316" w:type="dxa"/>
            <w:vAlign w:val="center"/>
          </w:tcPr>
          <w:p w:rsidR="001F479F" w:rsidRPr="00AA71D6" w:rsidRDefault="001F479F" w:rsidP="001F479F">
            <w:pPr>
              <w:jc w:val="center"/>
            </w:pPr>
            <w:r>
              <w:t>-</w:t>
            </w:r>
          </w:p>
        </w:tc>
      </w:tr>
      <w:tr w:rsidR="001F479F" w:rsidTr="001F479F">
        <w:trPr>
          <w:trHeight w:val="373"/>
        </w:trPr>
        <w:tc>
          <w:tcPr>
            <w:tcW w:w="1667" w:type="dxa"/>
            <w:vAlign w:val="center"/>
          </w:tcPr>
          <w:p w:rsidR="001F479F" w:rsidRDefault="001F479F" w:rsidP="001F479F">
            <w:pPr>
              <w:jc w:val="center"/>
            </w:pPr>
            <w:r>
              <w:t>C2</w:t>
            </w:r>
          </w:p>
        </w:tc>
        <w:tc>
          <w:tcPr>
            <w:tcW w:w="1698" w:type="dxa"/>
            <w:vAlign w:val="center"/>
          </w:tcPr>
          <w:p w:rsidR="001F479F" w:rsidRDefault="001F479F" w:rsidP="001F479F">
            <w:pPr>
              <w:jc w:val="center"/>
            </w:pPr>
            <w:r>
              <w:t>100</w:t>
            </w:r>
          </w:p>
        </w:tc>
        <w:tc>
          <w:tcPr>
            <w:tcW w:w="1537" w:type="dxa"/>
            <w:vAlign w:val="center"/>
          </w:tcPr>
          <w:p w:rsidR="001F479F" w:rsidRDefault="001F479F" w:rsidP="001F479F">
            <w:pPr>
              <w:jc w:val="center"/>
            </w:pPr>
            <w:r>
              <w:t>100</w:t>
            </w:r>
          </w:p>
        </w:tc>
        <w:tc>
          <w:tcPr>
            <w:tcW w:w="1200" w:type="dxa"/>
            <w:vAlign w:val="center"/>
          </w:tcPr>
          <w:p w:rsidR="001F479F" w:rsidRDefault="001F479F" w:rsidP="001F479F">
            <w:pPr>
              <w:jc w:val="center"/>
            </w:pPr>
            <w:r>
              <w:t>100</w:t>
            </w:r>
          </w:p>
        </w:tc>
        <w:tc>
          <w:tcPr>
            <w:tcW w:w="1508" w:type="dxa"/>
            <w:vAlign w:val="center"/>
          </w:tcPr>
          <w:p w:rsidR="001F479F" w:rsidRDefault="001F479F" w:rsidP="001F479F">
            <w:pPr>
              <w:jc w:val="center"/>
            </w:pPr>
            <w:r>
              <w:t>90</w:t>
            </w:r>
          </w:p>
        </w:tc>
        <w:tc>
          <w:tcPr>
            <w:tcW w:w="1316" w:type="dxa"/>
            <w:vAlign w:val="center"/>
          </w:tcPr>
          <w:p w:rsidR="001F479F" w:rsidRDefault="001F479F" w:rsidP="001F479F">
            <w:pPr>
              <w:jc w:val="center"/>
            </w:pPr>
            <w:r>
              <w:t>-</w:t>
            </w:r>
          </w:p>
        </w:tc>
      </w:tr>
    </w:tbl>
    <w:p w:rsidR="00142C3E" w:rsidRDefault="00142C3E" w:rsidP="001F479F">
      <w:pPr>
        <w:rPr>
          <w:rFonts w:ascii="Times New Roman" w:hAnsi="Times New Roman" w:cs="Times New Roman"/>
        </w:rPr>
      </w:pPr>
    </w:p>
    <w:p w:rsidR="00987C7E" w:rsidRPr="00987C7E" w:rsidRDefault="00485634" w:rsidP="00987C7E">
      <w:pPr>
        <w:tabs>
          <w:tab w:val="num" w:pos="720"/>
        </w:tabs>
        <w:rPr>
          <w:rFonts w:ascii="Times New Roman" w:hAnsi="Times New Roman" w:cs="Times New Roman"/>
        </w:rPr>
      </w:pPr>
      <w:r>
        <w:rPr>
          <w:rFonts w:ascii="Times New Roman" w:hAnsi="Times New Roman" w:cs="Times New Roman"/>
        </w:rPr>
        <w:t xml:space="preserve">            </w:t>
      </w:r>
    </w:p>
    <w:p w:rsidR="00485634" w:rsidRPr="00485634" w:rsidRDefault="00987C7E" w:rsidP="00485634">
      <w:pPr>
        <w:jc w:val="center"/>
        <w:rPr>
          <w:rFonts w:ascii="Times New Roman" w:eastAsia="Times New Roman" w:hAnsi="Times New Roman" w:cs="Times New Roman"/>
          <w:b/>
          <w:bCs/>
          <w:color w:val="373737"/>
          <w:sz w:val="24"/>
          <w:szCs w:val="24"/>
          <w:lang w:eastAsia="tr-TR"/>
        </w:rPr>
      </w:pPr>
      <w:r w:rsidRPr="00485634">
        <w:rPr>
          <w:rFonts w:ascii="Times New Roman" w:eastAsia="Times New Roman" w:hAnsi="Times New Roman" w:cs="Times New Roman"/>
          <w:b/>
          <w:bCs/>
          <w:color w:val="373737"/>
          <w:sz w:val="24"/>
          <w:szCs w:val="24"/>
          <w:lang w:eastAsia="tr-TR"/>
        </w:rPr>
        <w:t>ÖĞRENİM</w:t>
      </w:r>
      <w:r w:rsidR="00634E33">
        <w:rPr>
          <w:rFonts w:ascii="Times New Roman" w:eastAsia="Times New Roman" w:hAnsi="Times New Roman" w:cs="Times New Roman"/>
          <w:b/>
          <w:bCs/>
          <w:color w:val="373737"/>
          <w:sz w:val="24"/>
          <w:szCs w:val="24"/>
          <w:lang w:eastAsia="tr-TR"/>
        </w:rPr>
        <w:t xml:space="preserve"> </w:t>
      </w:r>
      <w:r w:rsidRPr="00485634">
        <w:rPr>
          <w:rFonts w:ascii="Times New Roman" w:eastAsia="Times New Roman" w:hAnsi="Times New Roman" w:cs="Times New Roman"/>
          <w:b/>
          <w:bCs/>
          <w:color w:val="373737"/>
          <w:sz w:val="24"/>
          <w:szCs w:val="24"/>
          <w:lang w:eastAsia="tr-TR"/>
        </w:rPr>
        <w:t>&amp;</w:t>
      </w:r>
      <w:r w:rsidR="00634E33">
        <w:rPr>
          <w:rFonts w:ascii="Times New Roman" w:eastAsia="Times New Roman" w:hAnsi="Times New Roman" w:cs="Times New Roman"/>
          <w:b/>
          <w:bCs/>
          <w:color w:val="373737"/>
          <w:sz w:val="24"/>
          <w:szCs w:val="24"/>
          <w:lang w:eastAsia="tr-TR"/>
        </w:rPr>
        <w:t xml:space="preserve"> </w:t>
      </w:r>
      <w:r w:rsidRPr="00485634">
        <w:rPr>
          <w:rFonts w:ascii="Times New Roman" w:eastAsia="Times New Roman" w:hAnsi="Times New Roman" w:cs="Times New Roman"/>
          <w:b/>
          <w:bCs/>
          <w:color w:val="373737"/>
          <w:sz w:val="24"/>
          <w:szCs w:val="24"/>
          <w:lang w:eastAsia="tr-TR"/>
        </w:rPr>
        <w:t>STAJ HAREKETLİLİĞİ SÜRELERİ</w:t>
      </w:r>
    </w:p>
    <w:tbl>
      <w:tblPr>
        <w:tblW w:w="0" w:type="auto"/>
        <w:tblCellSpacing w:w="0" w:type="dxa"/>
        <w:tblInd w:w="8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24"/>
        <w:gridCol w:w="3624"/>
      </w:tblGrid>
      <w:tr w:rsidR="00987C7E" w:rsidRPr="00987C7E" w:rsidTr="00485634">
        <w:trPr>
          <w:tblCellSpacing w:w="0" w:type="dxa"/>
        </w:trPr>
        <w:tc>
          <w:tcPr>
            <w:tcW w:w="3624" w:type="dxa"/>
            <w:tcBorders>
              <w:top w:val="outset" w:sz="6" w:space="0" w:color="auto"/>
              <w:left w:val="outset" w:sz="6" w:space="0" w:color="auto"/>
              <w:bottom w:val="outset" w:sz="6" w:space="0" w:color="auto"/>
              <w:right w:val="outset" w:sz="6" w:space="0" w:color="auto"/>
            </w:tcBorders>
            <w:hideMark/>
          </w:tcPr>
          <w:p w:rsidR="00987C7E" w:rsidRPr="00987C7E" w:rsidRDefault="00987C7E" w:rsidP="00437E09">
            <w:pPr>
              <w:jc w:val="center"/>
              <w:rPr>
                <w:rFonts w:ascii="Times New Roman" w:eastAsia="Times New Roman" w:hAnsi="Times New Roman" w:cs="Times New Roman"/>
                <w:bCs/>
                <w:color w:val="373737"/>
                <w:sz w:val="20"/>
                <w:szCs w:val="20"/>
                <w:lang w:eastAsia="tr-TR"/>
              </w:rPr>
            </w:pPr>
            <w:r w:rsidRPr="00987C7E">
              <w:rPr>
                <w:rFonts w:ascii="Times New Roman" w:eastAsia="Times New Roman" w:hAnsi="Times New Roman" w:cs="Times New Roman"/>
                <w:bCs/>
                <w:color w:val="373737"/>
                <w:sz w:val="20"/>
                <w:szCs w:val="20"/>
                <w:lang w:eastAsia="tr-TR"/>
              </w:rPr>
              <w:t>Erasmus+ Öğrenim Hareketliliği</w:t>
            </w:r>
          </w:p>
        </w:tc>
        <w:tc>
          <w:tcPr>
            <w:tcW w:w="3624" w:type="dxa"/>
            <w:tcBorders>
              <w:top w:val="outset" w:sz="6" w:space="0" w:color="auto"/>
              <w:left w:val="outset" w:sz="6" w:space="0" w:color="auto"/>
              <w:bottom w:val="outset" w:sz="6" w:space="0" w:color="auto"/>
              <w:right w:val="outset" w:sz="6" w:space="0" w:color="auto"/>
            </w:tcBorders>
            <w:hideMark/>
          </w:tcPr>
          <w:p w:rsidR="00987C7E" w:rsidRPr="00987C7E" w:rsidRDefault="00987C7E" w:rsidP="00437E09">
            <w:pPr>
              <w:jc w:val="center"/>
              <w:rPr>
                <w:rFonts w:ascii="Times New Roman" w:eastAsia="Times New Roman" w:hAnsi="Times New Roman" w:cs="Times New Roman"/>
                <w:bCs/>
                <w:color w:val="373737"/>
                <w:sz w:val="20"/>
                <w:szCs w:val="20"/>
                <w:lang w:eastAsia="tr-TR"/>
              </w:rPr>
            </w:pPr>
            <w:r w:rsidRPr="00987C7E">
              <w:rPr>
                <w:rFonts w:ascii="Times New Roman" w:eastAsia="Times New Roman" w:hAnsi="Times New Roman" w:cs="Times New Roman"/>
                <w:bCs/>
                <w:color w:val="373737"/>
                <w:sz w:val="20"/>
                <w:szCs w:val="20"/>
                <w:lang w:eastAsia="tr-TR"/>
              </w:rPr>
              <w:t>Minimum 3 ay, maksimum 12 ay</w:t>
            </w:r>
          </w:p>
        </w:tc>
      </w:tr>
      <w:tr w:rsidR="00987C7E" w:rsidRPr="00987C7E" w:rsidTr="00485634">
        <w:trPr>
          <w:tblCellSpacing w:w="0" w:type="dxa"/>
        </w:trPr>
        <w:tc>
          <w:tcPr>
            <w:tcW w:w="3624" w:type="dxa"/>
            <w:tcBorders>
              <w:top w:val="outset" w:sz="6" w:space="0" w:color="auto"/>
              <w:left w:val="outset" w:sz="6" w:space="0" w:color="auto"/>
              <w:bottom w:val="outset" w:sz="6" w:space="0" w:color="auto"/>
              <w:right w:val="outset" w:sz="6" w:space="0" w:color="auto"/>
            </w:tcBorders>
            <w:hideMark/>
          </w:tcPr>
          <w:p w:rsidR="00987C7E" w:rsidRPr="00987C7E" w:rsidRDefault="00987C7E" w:rsidP="00437E09">
            <w:pPr>
              <w:jc w:val="center"/>
              <w:rPr>
                <w:rFonts w:ascii="Times New Roman" w:eastAsia="Times New Roman" w:hAnsi="Times New Roman" w:cs="Times New Roman"/>
                <w:bCs/>
                <w:color w:val="373737"/>
                <w:sz w:val="20"/>
                <w:szCs w:val="20"/>
                <w:lang w:eastAsia="tr-TR"/>
              </w:rPr>
            </w:pPr>
            <w:r w:rsidRPr="00987C7E">
              <w:rPr>
                <w:rFonts w:ascii="Times New Roman" w:eastAsia="Times New Roman" w:hAnsi="Times New Roman" w:cs="Times New Roman"/>
                <w:bCs/>
                <w:color w:val="373737"/>
                <w:sz w:val="20"/>
                <w:szCs w:val="20"/>
                <w:lang w:eastAsia="tr-TR"/>
              </w:rPr>
              <w:t>Erasmus+ Staj Hareketliliği*</w:t>
            </w:r>
          </w:p>
        </w:tc>
        <w:tc>
          <w:tcPr>
            <w:tcW w:w="3624" w:type="dxa"/>
            <w:tcBorders>
              <w:top w:val="outset" w:sz="6" w:space="0" w:color="auto"/>
              <w:left w:val="outset" w:sz="6" w:space="0" w:color="auto"/>
              <w:bottom w:val="outset" w:sz="6" w:space="0" w:color="auto"/>
              <w:right w:val="outset" w:sz="6" w:space="0" w:color="auto"/>
            </w:tcBorders>
            <w:hideMark/>
          </w:tcPr>
          <w:p w:rsidR="00987C7E" w:rsidRPr="00987C7E" w:rsidRDefault="00987C7E" w:rsidP="00437E09">
            <w:pPr>
              <w:jc w:val="center"/>
              <w:rPr>
                <w:rFonts w:ascii="Times New Roman" w:eastAsia="Times New Roman" w:hAnsi="Times New Roman" w:cs="Times New Roman"/>
                <w:bCs/>
                <w:color w:val="373737"/>
                <w:sz w:val="20"/>
                <w:szCs w:val="20"/>
                <w:lang w:eastAsia="tr-TR"/>
              </w:rPr>
            </w:pPr>
            <w:r w:rsidRPr="00987C7E">
              <w:rPr>
                <w:rFonts w:ascii="Times New Roman" w:eastAsia="Times New Roman" w:hAnsi="Times New Roman" w:cs="Times New Roman"/>
                <w:bCs/>
                <w:color w:val="373737"/>
                <w:sz w:val="20"/>
                <w:szCs w:val="20"/>
                <w:lang w:eastAsia="tr-TR"/>
              </w:rPr>
              <w:t>Minimum 2 ay, maksimum 12 ay</w:t>
            </w:r>
          </w:p>
        </w:tc>
      </w:tr>
    </w:tbl>
    <w:p w:rsidR="00987C7E" w:rsidRDefault="00987C7E" w:rsidP="00987C7E">
      <w:pPr>
        <w:tabs>
          <w:tab w:val="num" w:pos="720"/>
        </w:tabs>
        <w:rPr>
          <w:rFonts w:ascii="Times New Roman" w:hAnsi="Times New Roman" w:cs="Times New Roman"/>
        </w:rPr>
      </w:pPr>
    </w:p>
    <w:p w:rsidR="00485634" w:rsidRDefault="00485634" w:rsidP="00485634">
      <w:pPr>
        <w:rPr>
          <w:rFonts w:ascii="Times New Roman" w:eastAsia="Times New Roman" w:hAnsi="Times New Roman" w:cs="Times New Roman"/>
          <w:bCs/>
          <w:color w:val="373737"/>
          <w:sz w:val="20"/>
          <w:szCs w:val="20"/>
          <w:lang w:eastAsia="tr-TR"/>
        </w:rPr>
      </w:pPr>
      <w:r w:rsidRPr="00EC3F84">
        <w:rPr>
          <w:rFonts w:ascii="Times New Roman" w:eastAsia="Times New Roman" w:hAnsi="Times New Roman" w:cs="Times New Roman"/>
          <w:b/>
          <w:bCs/>
          <w:color w:val="FF0000"/>
          <w:sz w:val="20"/>
          <w:szCs w:val="20"/>
          <w:lang w:eastAsia="tr-TR"/>
        </w:rPr>
        <w:t>*</w:t>
      </w:r>
      <w:r w:rsidR="00900D33" w:rsidRPr="00900D33">
        <w:rPr>
          <w:rFonts w:ascii="Times New Roman" w:eastAsia="Times New Roman" w:hAnsi="Times New Roman" w:cs="Times New Roman"/>
          <w:b/>
          <w:bCs/>
          <w:color w:val="FF0000"/>
          <w:sz w:val="20"/>
          <w:szCs w:val="20"/>
          <w:lang w:eastAsia="tr-TR"/>
        </w:rPr>
        <w:t>Erasmus+ Seçim ve Değerlendirme Komisyon</w:t>
      </w:r>
      <w:r w:rsidR="00900D33">
        <w:rPr>
          <w:rFonts w:ascii="Times New Roman" w:eastAsia="Times New Roman" w:hAnsi="Times New Roman" w:cs="Times New Roman"/>
          <w:b/>
          <w:bCs/>
          <w:color w:val="FF0000"/>
          <w:sz w:val="20"/>
          <w:szCs w:val="20"/>
          <w:lang w:eastAsia="tr-TR"/>
        </w:rPr>
        <w:t>u</w:t>
      </w:r>
      <w:r w:rsidR="00437E09">
        <w:rPr>
          <w:rFonts w:ascii="Times New Roman" w:eastAsia="Times New Roman" w:hAnsi="Times New Roman" w:cs="Times New Roman"/>
          <w:b/>
          <w:bCs/>
          <w:color w:val="FF0000"/>
          <w:sz w:val="20"/>
          <w:szCs w:val="20"/>
          <w:lang w:eastAsia="tr-TR"/>
        </w:rPr>
        <w:t xml:space="preserve">n 24.12.2019 tarihli </w:t>
      </w:r>
      <w:r w:rsidR="006959E6">
        <w:rPr>
          <w:rFonts w:ascii="Times New Roman" w:eastAsia="Times New Roman" w:hAnsi="Times New Roman" w:cs="Times New Roman"/>
          <w:b/>
          <w:bCs/>
          <w:color w:val="FF0000"/>
          <w:sz w:val="20"/>
          <w:szCs w:val="20"/>
          <w:lang w:eastAsia="tr-TR"/>
        </w:rPr>
        <w:t xml:space="preserve">toplantısı </w:t>
      </w:r>
      <w:r w:rsidR="00437E09">
        <w:rPr>
          <w:rFonts w:ascii="Times New Roman" w:eastAsia="Times New Roman" w:hAnsi="Times New Roman" w:cs="Times New Roman"/>
          <w:b/>
          <w:bCs/>
          <w:color w:val="FF0000"/>
          <w:sz w:val="20"/>
          <w:szCs w:val="20"/>
          <w:lang w:eastAsia="tr-TR"/>
        </w:rPr>
        <w:t>02 no’lu</w:t>
      </w:r>
      <w:r>
        <w:rPr>
          <w:rFonts w:ascii="Times New Roman" w:eastAsia="Times New Roman" w:hAnsi="Times New Roman" w:cs="Times New Roman"/>
          <w:b/>
          <w:bCs/>
          <w:color w:val="FF0000"/>
          <w:sz w:val="20"/>
          <w:szCs w:val="20"/>
          <w:lang w:eastAsia="tr-TR"/>
        </w:rPr>
        <w:t xml:space="preserve"> kararınca s</w:t>
      </w:r>
      <w:r w:rsidRPr="00EC3F84">
        <w:rPr>
          <w:rFonts w:ascii="Times New Roman" w:eastAsia="Times New Roman" w:hAnsi="Times New Roman" w:cs="Times New Roman"/>
          <w:b/>
          <w:bCs/>
          <w:color w:val="FF0000"/>
          <w:sz w:val="20"/>
          <w:szCs w:val="20"/>
          <w:lang w:eastAsia="tr-TR"/>
        </w:rPr>
        <w:t>taj hareketliliği hibeli süresi en fazla 4 aydır.</w:t>
      </w:r>
      <w:r w:rsidRPr="00EC3F84">
        <w:rPr>
          <w:rFonts w:ascii="Times New Roman" w:eastAsia="Times New Roman" w:hAnsi="Times New Roman" w:cs="Times New Roman"/>
          <w:bCs/>
          <w:color w:val="FF0000"/>
          <w:sz w:val="20"/>
          <w:szCs w:val="20"/>
          <w:lang w:eastAsia="tr-TR"/>
        </w:rPr>
        <w:t xml:space="preserve"> </w:t>
      </w:r>
      <w:r w:rsidR="006959E6">
        <w:rPr>
          <w:rFonts w:ascii="Times New Roman" w:eastAsia="Times New Roman" w:hAnsi="Times New Roman" w:cs="Times New Roman"/>
          <w:bCs/>
          <w:color w:val="FF0000"/>
          <w:sz w:val="20"/>
          <w:szCs w:val="20"/>
          <w:lang w:eastAsia="tr-TR"/>
        </w:rPr>
        <w:br/>
      </w:r>
      <w:r w:rsidRPr="00EC3F84">
        <w:rPr>
          <w:rFonts w:ascii="Times New Roman" w:eastAsia="Times New Roman" w:hAnsi="Times New Roman" w:cs="Times New Roman"/>
          <w:bCs/>
          <w:color w:val="373737"/>
          <w:sz w:val="20"/>
          <w:szCs w:val="20"/>
          <w:lang w:eastAsia="tr-TR"/>
        </w:rPr>
        <w:t>Staj hareketliliklerini 4 ay’dan f</w:t>
      </w:r>
      <w:r w:rsidR="00776D36">
        <w:rPr>
          <w:rFonts w:ascii="Times New Roman" w:eastAsia="Times New Roman" w:hAnsi="Times New Roman" w:cs="Times New Roman"/>
          <w:bCs/>
          <w:color w:val="373737"/>
          <w:sz w:val="20"/>
          <w:szCs w:val="20"/>
          <w:lang w:eastAsia="tr-TR"/>
        </w:rPr>
        <w:t>azla yapmak isteyen öğrenciler; 4 ay hibeli, sonraki süre de hibesiz olarak 12 aya kadar staj hareketliliği haklarını kullanabilirler.</w:t>
      </w:r>
    </w:p>
    <w:p w:rsidR="00634E33" w:rsidRDefault="00634E33" w:rsidP="00634E33">
      <w:pPr>
        <w:spacing w:after="0"/>
        <w:rPr>
          <w:rFonts w:ascii="Times New Roman" w:eastAsia="Times New Roman" w:hAnsi="Times New Roman" w:cs="Times New Roman"/>
          <w:b/>
          <w:bCs/>
          <w:color w:val="FF0000"/>
          <w:sz w:val="20"/>
          <w:szCs w:val="20"/>
          <w:lang w:eastAsia="tr-TR"/>
        </w:rPr>
      </w:pPr>
      <w:r w:rsidRPr="00634E33">
        <w:rPr>
          <w:rFonts w:ascii="Times New Roman" w:eastAsia="Times New Roman" w:hAnsi="Times New Roman" w:cs="Times New Roman"/>
          <w:b/>
          <w:bCs/>
          <w:color w:val="FF0000"/>
          <w:sz w:val="20"/>
          <w:szCs w:val="20"/>
          <w:lang w:eastAsia="tr-TR"/>
        </w:rPr>
        <w:t>*Erasmus+ Seçim ve Değerlendirme Komisyonu</w:t>
      </w:r>
      <w:r>
        <w:rPr>
          <w:rFonts w:ascii="Times New Roman" w:eastAsia="Times New Roman" w:hAnsi="Times New Roman" w:cs="Times New Roman"/>
          <w:b/>
          <w:bCs/>
          <w:color w:val="FF0000"/>
          <w:sz w:val="20"/>
          <w:szCs w:val="20"/>
          <w:lang w:eastAsia="tr-TR"/>
        </w:rPr>
        <w:t xml:space="preserve"> </w:t>
      </w:r>
      <w:r w:rsidR="00437E09">
        <w:rPr>
          <w:rFonts w:ascii="Times New Roman" w:eastAsia="Times New Roman" w:hAnsi="Times New Roman" w:cs="Times New Roman"/>
          <w:b/>
          <w:bCs/>
          <w:color w:val="FF0000"/>
          <w:sz w:val="20"/>
          <w:szCs w:val="20"/>
          <w:lang w:eastAsia="tr-TR"/>
        </w:rPr>
        <w:t xml:space="preserve">24.12.2019 tarihli </w:t>
      </w:r>
      <w:r w:rsidR="006959E6">
        <w:rPr>
          <w:rFonts w:ascii="Times New Roman" w:eastAsia="Times New Roman" w:hAnsi="Times New Roman" w:cs="Times New Roman"/>
          <w:b/>
          <w:bCs/>
          <w:color w:val="FF0000"/>
          <w:sz w:val="20"/>
          <w:szCs w:val="20"/>
          <w:lang w:eastAsia="tr-TR"/>
        </w:rPr>
        <w:t xml:space="preserve">toplantısı </w:t>
      </w:r>
      <w:r w:rsidR="00437E09">
        <w:rPr>
          <w:rFonts w:ascii="Times New Roman" w:eastAsia="Times New Roman" w:hAnsi="Times New Roman" w:cs="Times New Roman"/>
          <w:b/>
          <w:bCs/>
          <w:color w:val="FF0000"/>
          <w:sz w:val="20"/>
          <w:szCs w:val="20"/>
          <w:lang w:eastAsia="tr-TR"/>
        </w:rPr>
        <w:t xml:space="preserve">02 no’lu </w:t>
      </w:r>
      <w:r>
        <w:rPr>
          <w:rFonts w:ascii="Times New Roman" w:eastAsia="Times New Roman" w:hAnsi="Times New Roman" w:cs="Times New Roman"/>
          <w:b/>
          <w:bCs/>
          <w:color w:val="FF0000"/>
          <w:sz w:val="20"/>
          <w:szCs w:val="20"/>
          <w:lang w:eastAsia="tr-TR"/>
        </w:rPr>
        <w:t>kararınca öğrenim</w:t>
      </w:r>
      <w:r w:rsidRPr="00634E33">
        <w:rPr>
          <w:rFonts w:ascii="Times New Roman" w:eastAsia="Times New Roman" w:hAnsi="Times New Roman" w:cs="Times New Roman"/>
          <w:b/>
          <w:bCs/>
          <w:color w:val="FF0000"/>
          <w:sz w:val="20"/>
          <w:szCs w:val="20"/>
          <w:lang w:eastAsia="tr-TR"/>
        </w:rPr>
        <w:t xml:space="preserve"> hareket</w:t>
      </w:r>
      <w:r>
        <w:rPr>
          <w:rFonts w:ascii="Times New Roman" w:eastAsia="Times New Roman" w:hAnsi="Times New Roman" w:cs="Times New Roman"/>
          <w:b/>
          <w:bCs/>
          <w:color w:val="FF0000"/>
          <w:sz w:val="20"/>
          <w:szCs w:val="20"/>
          <w:lang w:eastAsia="tr-TR"/>
        </w:rPr>
        <w:t xml:space="preserve">liliği hibeli süresi en fazla 1 dönemdir. </w:t>
      </w:r>
    </w:p>
    <w:p w:rsidR="00776D36" w:rsidRDefault="00634E33" w:rsidP="00776D36">
      <w:pPr>
        <w:rPr>
          <w:rFonts w:ascii="Times New Roman" w:eastAsia="Times New Roman" w:hAnsi="Times New Roman" w:cs="Times New Roman"/>
          <w:bCs/>
          <w:color w:val="373737"/>
          <w:sz w:val="20"/>
          <w:szCs w:val="20"/>
          <w:lang w:eastAsia="tr-TR"/>
        </w:rPr>
      </w:pPr>
      <w:r>
        <w:rPr>
          <w:rFonts w:ascii="Times New Roman" w:eastAsia="Times New Roman" w:hAnsi="Times New Roman" w:cs="Times New Roman"/>
          <w:bCs/>
          <w:color w:val="373737"/>
          <w:sz w:val="20"/>
          <w:szCs w:val="20"/>
          <w:lang w:eastAsia="tr-TR"/>
        </w:rPr>
        <w:t>Öğrenim</w:t>
      </w:r>
      <w:r w:rsidRPr="00EC3F84">
        <w:rPr>
          <w:rFonts w:ascii="Times New Roman" w:eastAsia="Times New Roman" w:hAnsi="Times New Roman" w:cs="Times New Roman"/>
          <w:bCs/>
          <w:color w:val="373737"/>
          <w:sz w:val="20"/>
          <w:szCs w:val="20"/>
          <w:lang w:eastAsia="tr-TR"/>
        </w:rPr>
        <w:t xml:space="preserve"> hareketliliklerini </w:t>
      </w:r>
      <w:r>
        <w:rPr>
          <w:rFonts w:ascii="Times New Roman" w:eastAsia="Times New Roman" w:hAnsi="Times New Roman" w:cs="Times New Roman"/>
          <w:bCs/>
          <w:color w:val="373737"/>
          <w:sz w:val="20"/>
          <w:szCs w:val="20"/>
          <w:lang w:eastAsia="tr-TR"/>
        </w:rPr>
        <w:t>2 dönem</w:t>
      </w:r>
      <w:r w:rsidRPr="00EC3F84">
        <w:rPr>
          <w:rFonts w:ascii="Times New Roman" w:eastAsia="Times New Roman" w:hAnsi="Times New Roman" w:cs="Times New Roman"/>
          <w:bCs/>
          <w:color w:val="373737"/>
          <w:sz w:val="20"/>
          <w:szCs w:val="20"/>
          <w:lang w:eastAsia="tr-TR"/>
        </w:rPr>
        <w:t xml:space="preserve"> yapmak isteyen </w:t>
      </w:r>
      <w:r w:rsidR="00776D36">
        <w:rPr>
          <w:rFonts w:ascii="Times New Roman" w:eastAsia="Times New Roman" w:hAnsi="Times New Roman" w:cs="Times New Roman"/>
          <w:bCs/>
          <w:color w:val="373737"/>
          <w:sz w:val="20"/>
          <w:szCs w:val="20"/>
          <w:lang w:eastAsia="tr-TR"/>
        </w:rPr>
        <w:t>öğrenciler, 1 dönem hibeli, sonraki dönem de hibesiz olarak 2 döneme kadar öğrenim hareketliliği haklarını kullanabilirler.</w:t>
      </w:r>
      <w:r w:rsidR="007800FB">
        <w:rPr>
          <w:rFonts w:ascii="Times New Roman" w:eastAsia="Times New Roman" w:hAnsi="Times New Roman" w:cs="Times New Roman"/>
          <w:bCs/>
          <w:color w:val="373737"/>
          <w:sz w:val="20"/>
          <w:szCs w:val="20"/>
          <w:lang w:eastAsia="tr-TR"/>
        </w:rPr>
        <w:t xml:space="preserve"> (2 dönem hareketlilik yapacak öğrencilerin hibeleri</w:t>
      </w:r>
      <w:bookmarkStart w:id="0" w:name="_GoBack"/>
      <w:bookmarkEnd w:id="0"/>
      <w:r w:rsidR="007800FB">
        <w:rPr>
          <w:rFonts w:ascii="Times New Roman" w:eastAsia="Times New Roman" w:hAnsi="Times New Roman" w:cs="Times New Roman"/>
          <w:bCs/>
          <w:color w:val="373737"/>
          <w:sz w:val="20"/>
          <w:szCs w:val="20"/>
          <w:lang w:eastAsia="tr-TR"/>
        </w:rPr>
        <w:t xml:space="preserve"> toplam hibe gün sayısı/2 olarak hesaplanır)</w:t>
      </w:r>
    </w:p>
    <w:p w:rsidR="00485634" w:rsidRPr="00485634" w:rsidRDefault="00485634" w:rsidP="00485634">
      <w:pPr>
        <w:jc w:val="center"/>
        <w:rPr>
          <w:rFonts w:ascii="Times New Roman" w:eastAsia="Times New Roman" w:hAnsi="Times New Roman" w:cs="Times New Roman"/>
          <w:b/>
          <w:bCs/>
          <w:color w:val="373737"/>
          <w:sz w:val="24"/>
          <w:szCs w:val="24"/>
          <w:lang w:eastAsia="tr-TR"/>
        </w:rPr>
      </w:pPr>
      <w:r w:rsidRPr="00485634">
        <w:rPr>
          <w:rFonts w:ascii="Times New Roman" w:eastAsia="Times New Roman" w:hAnsi="Times New Roman" w:cs="Times New Roman"/>
          <w:b/>
          <w:bCs/>
          <w:color w:val="373737"/>
          <w:sz w:val="24"/>
          <w:szCs w:val="24"/>
          <w:lang w:eastAsia="tr-TR"/>
        </w:rPr>
        <w:t>ERASMUS+ İKİLİ ANLAŞMALAR</w:t>
      </w:r>
      <w:r w:rsidR="006959E6">
        <w:rPr>
          <w:rFonts w:ascii="Times New Roman" w:eastAsia="Times New Roman" w:hAnsi="Times New Roman" w:cs="Times New Roman"/>
          <w:b/>
          <w:bCs/>
          <w:color w:val="373737"/>
          <w:sz w:val="24"/>
          <w:szCs w:val="24"/>
          <w:lang w:eastAsia="tr-TR"/>
        </w:rPr>
        <w:t>IMIZ</w:t>
      </w:r>
    </w:p>
    <w:p w:rsidR="00634E33" w:rsidRPr="00437E09" w:rsidRDefault="00485634" w:rsidP="006959E6">
      <w:pPr>
        <w:jc w:val="center"/>
        <w:rPr>
          <w:rFonts w:ascii="Times New Roman" w:eastAsia="Times New Roman" w:hAnsi="Times New Roman" w:cs="Times New Roman"/>
          <w:b/>
          <w:bCs/>
          <w:color w:val="0070C0"/>
          <w:sz w:val="20"/>
          <w:szCs w:val="20"/>
          <w:lang w:eastAsia="tr-TR"/>
        </w:rPr>
      </w:pPr>
      <w:r w:rsidRPr="00EC3F84">
        <w:rPr>
          <w:rFonts w:ascii="Times New Roman" w:eastAsia="Times New Roman" w:hAnsi="Times New Roman" w:cs="Times New Roman"/>
          <w:bCs/>
          <w:color w:val="373737"/>
          <w:sz w:val="20"/>
          <w:szCs w:val="20"/>
          <w:lang w:eastAsia="tr-TR"/>
        </w:rPr>
        <w:t xml:space="preserve">Bölümünüzün anlaşması olan yurt dışı üniversiteler ve gidilecek üniversitelerin bilgileri, </w:t>
      </w:r>
      <w:r w:rsidR="006959E6">
        <w:rPr>
          <w:rFonts w:ascii="Times New Roman" w:eastAsia="Times New Roman" w:hAnsi="Times New Roman" w:cs="Times New Roman"/>
          <w:bCs/>
          <w:color w:val="373737"/>
          <w:sz w:val="20"/>
          <w:szCs w:val="20"/>
          <w:lang w:eastAsia="tr-TR"/>
        </w:rPr>
        <w:t>aşağıdaki linkte</w:t>
      </w:r>
      <w:r w:rsidRPr="00EC3F84">
        <w:rPr>
          <w:rFonts w:ascii="Times New Roman" w:eastAsia="Times New Roman" w:hAnsi="Times New Roman" w:cs="Times New Roman"/>
          <w:bCs/>
          <w:color w:val="373737"/>
          <w:sz w:val="20"/>
          <w:szCs w:val="20"/>
          <w:lang w:eastAsia="tr-TR"/>
        </w:rPr>
        <w:t xml:space="preserve"> yer almaktadır.</w:t>
      </w:r>
      <w:r w:rsidRPr="00EC3F84">
        <w:rPr>
          <w:rFonts w:ascii="Times New Roman" w:eastAsia="Times New Roman" w:hAnsi="Times New Roman" w:cs="Times New Roman"/>
          <w:bCs/>
          <w:color w:val="373737"/>
          <w:sz w:val="20"/>
          <w:szCs w:val="20"/>
          <w:lang w:eastAsia="tr-TR"/>
        </w:rPr>
        <w:br/>
      </w:r>
      <w:hyperlink r:id="rId7" w:history="1">
        <w:r w:rsidRPr="00EC3F84">
          <w:rPr>
            <w:rFonts w:ascii="Times New Roman" w:eastAsia="Times New Roman" w:hAnsi="Times New Roman" w:cs="Times New Roman"/>
            <w:b/>
            <w:bCs/>
            <w:color w:val="0070C0"/>
            <w:sz w:val="20"/>
            <w:szCs w:val="20"/>
            <w:lang w:eastAsia="tr-TR"/>
          </w:rPr>
          <w:t>https://erasmus.subu.edu.tr/tr/icerik/10249/52073/ikili-anlasmalarimiz</w:t>
        </w:r>
      </w:hyperlink>
    </w:p>
    <w:p w:rsidR="00485634" w:rsidRPr="00485634" w:rsidRDefault="00485634" w:rsidP="00485634">
      <w:pPr>
        <w:jc w:val="center"/>
        <w:rPr>
          <w:rFonts w:ascii="Times New Roman" w:eastAsia="Times New Roman" w:hAnsi="Times New Roman" w:cs="Times New Roman"/>
          <w:b/>
          <w:bCs/>
          <w:color w:val="373737"/>
          <w:sz w:val="24"/>
          <w:szCs w:val="24"/>
          <w:lang w:eastAsia="tr-TR"/>
        </w:rPr>
      </w:pPr>
      <w:r w:rsidRPr="00485634">
        <w:rPr>
          <w:rFonts w:ascii="Times New Roman" w:eastAsia="Times New Roman" w:hAnsi="Times New Roman" w:cs="Times New Roman"/>
          <w:b/>
          <w:bCs/>
          <w:color w:val="373737"/>
          <w:sz w:val="24"/>
          <w:szCs w:val="24"/>
          <w:lang w:eastAsia="tr-TR"/>
        </w:rPr>
        <w:t>BAŞVURULARIN DEĞERLENDİRİLMESİ</w:t>
      </w:r>
    </w:p>
    <w:p w:rsidR="00485634" w:rsidRPr="00EC3F84" w:rsidRDefault="00485634" w:rsidP="00485634">
      <w:pPr>
        <w:tabs>
          <w:tab w:val="num" w:pos="720"/>
        </w:tabs>
        <w:rPr>
          <w:rFonts w:ascii="Times New Roman" w:eastAsia="Times New Roman" w:hAnsi="Times New Roman" w:cs="Times New Roman"/>
          <w:b/>
          <w:bCs/>
          <w:color w:val="373737"/>
          <w:sz w:val="20"/>
          <w:szCs w:val="20"/>
          <w:lang w:eastAsia="tr-TR"/>
        </w:rPr>
      </w:pPr>
      <w:r w:rsidRPr="00EC3F84">
        <w:rPr>
          <w:rFonts w:ascii="Times New Roman" w:eastAsia="Times New Roman" w:hAnsi="Times New Roman" w:cs="Times New Roman"/>
          <w:b/>
          <w:bCs/>
          <w:color w:val="373737"/>
          <w:sz w:val="20"/>
          <w:szCs w:val="20"/>
          <w:lang w:eastAsia="tr-TR"/>
        </w:rPr>
        <w:t>Erasmus+ Öğrenci; Öğrenim ve Staj Hareketliliği Başvurularının Değerlendirilmesinde Kullanılacak Puanlandırma Kriterleri</w:t>
      </w:r>
    </w:p>
    <w:p w:rsidR="00485634" w:rsidRPr="00EC3F84" w:rsidRDefault="00485634" w:rsidP="00485634">
      <w:pPr>
        <w:tabs>
          <w:tab w:val="num" w:pos="720"/>
        </w:tabs>
        <w:rPr>
          <w:rFonts w:ascii="Times New Roman" w:eastAsia="Times New Roman" w:hAnsi="Times New Roman" w:cs="Times New Roman"/>
          <w:bCs/>
          <w:color w:val="373737"/>
          <w:sz w:val="20"/>
          <w:szCs w:val="20"/>
          <w:lang w:eastAsia="tr-TR"/>
        </w:rPr>
      </w:pPr>
      <w:r w:rsidRPr="00EC3F84">
        <w:rPr>
          <w:rFonts w:ascii="Times New Roman" w:eastAsia="Times New Roman" w:hAnsi="Times New Roman" w:cs="Times New Roman"/>
          <w:bCs/>
          <w:color w:val="373737"/>
          <w:sz w:val="20"/>
          <w:szCs w:val="20"/>
          <w:lang w:eastAsia="tr-TR"/>
        </w:rPr>
        <w:t>Öğrencinin yükseköğretim kurumu bünyesinde örgün eğitim kademelerinin herhangi birinde (birinci, ikinci veya üçüncü kademe)1 bir yükseköğretim programına kayıtlı, tam zamanlı öğrenci olup,</w:t>
      </w:r>
    </w:p>
    <w:p w:rsidR="00485634" w:rsidRPr="00EC3F84" w:rsidRDefault="00485634" w:rsidP="00485634">
      <w:pPr>
        <w:tabs>
          <w:tab w:val="num" w:pos="720"/>
        </w:tabs>
        <w:rPr>
          <w:rFonts w:ascii="Times New Roman" w:eastAsia="Times New Roman" w:hAnsi="Times New Roman" w:cs="Times New Roman"/>
          <w:bCs/>
          <w:color w:val="373737"/>
          <w:sz w:val="20"/>
          <w:szCs w:val="20"/>
          <w:lang w:eastAsia="tr-TR"/>
        </w:rPr>
      </w:pPr>
      <w:r w:rsidRPr="00EC3F84">
        <w:rPr>
          <w:rFonts w:ascii="Times New Roman" w:eastAsia="Times New Roman" w:hAnsi="Times New Roman" w:cs="Times New Roman"/>
          <w:bCs/>
          <w:color w:val="373737"/>
          <w:sz w:val="20"/>
          <w:szCs w:val="20"/>
          <w:lang w:eastAsia="tr-TR"/>
        </w:rPr>
        <w:t xml:space="preserve">a) </w:t>
      </w:r>
      <w:r w:rsidRPr="00EC3F84">
        <w:rPr>
          <w:rFonts w:ascii="Times New Roman" w:eastAsia="Times New Roman" w:hAnsi="Times New Roman" w:cs="Times New Roman"/>
          <w:b/>
          <w:bCs/>
          <w:i/>
          <w:iCs/>
          <w:color w:val="373737"/>
          <w:sz w:val="20"/>
          <w:szCs w:val="20"/>
          <w:lang w:eastAsia="tr-TR"/>
        </w:rPr>
        <w:t xml:space="preserve">Birinci kademe </w:t>
      </w:r>
      <w:r w:rsidRPr="00EC3F84">
        <w:rPr>
          <w:rFonts w:ascii="Times New Roman" w:eastAsia="Times New Roman" w:hAnsi="Times New Roman" w:cs="Times New Roman"/>
          <w:bCs/>
          <w:color w:val="373737"/>
          <w:sz w:val="20"/>
          <w:szCs w:val="20"/>
          <w:lang w:eastAsia="tr-TR"/>
        </w:rPr>
        <w:t>öğrencilerinin kümülatif akademik not ortalamasının en az 2.20/4.00,</w:t>
      </w:r>
    </w:p>
    <w:p w:rsidR="00485634" w:rsidRPr="00EC3F84" w:rsidRDefault="00485634" w:rsidP="00485634">
      <w:pPr>
        <w:tabs>
          <w:tab w:val="num" w:pos="720"/>
        </w:tabs>
        <w:rPr>
          <w:rFonts w:ascii="Times New Roman" w:eastAsia="Times New Roman" w:hAnsi="Times New Roman" w:cs="Times New Roman"/>
          <w:bCs/>
          <w:color w:val="373737"/>
          <w:sz w:val="20"/>
          <w:szCs w:val="20"/>
          <w:lang w:eastAsia="tr-TR"/>
        </w:rPr>
      </w:pPr>
      <w:r w:rsidRPr="00EC3F84">
        <w:rPr>
          <w:rFonts w:ascii="Times New Roman" w:eastAsia="Times New Roman" w:hAnsi="Times New Roman" w:cs="Times New Roman"/>
          <w:bCs/>
          <w:color w:val="373737"/>
          <w:sz w:val="20"/>
          <w:szCs w:val="20"/>
          <w:lang w:eastAsia="tr-TR"/>
        </w:rPr>
        <w:t xml:space="preserve">b) </w:t>
      </w:r>
      <w:r w:rsidRPr="00EC3F84">
        <w:rPr>
          <w:rFonts w:ascii="Times New Roman" w:eastAsia="Times New Roman" w:hAnsi="Times New Roman" w:cs="Times New Roman"/>
          <w:b/>
          <w:bCs/>
          <w:i/>
          <w:iCs/>
          <w:color w:val="373737"/>
          <w:sz w:val="20"/>
          <w:szCs w:val="20"/>
          <w:lang w:eastAsia="tr-TR"/>
        </w:rPr>
        <w:t xml:space="preserve">İkinci ve üçüncü kademe </w:t>
      </w:r>
      <w:r w:rsidRPr="00EC3F84">
        <w:rPr>
          <w:rFonts w:ascii="Times New Roman" w:eastAsia="Times New Roman" w:hAnsi="Times New Roman" w:cs="Times New Roman"/>
          <w:bCs/>
          <w:color w:val="373737"/>
          <w:sz w:val="20"/>
          <w:szCs w:val="20"/>
          <w:lang w:eastAsia="tr-TR"/>
        </w:rPr>
        <w:t>öğrencilerinin kümülatif akademik not ortalamasının en az</w:t>
      </w:r>
      <w:r w:rsidR="00437E09">
        <w:rPr>
          <w:rFonts w:ascii="Times New Roman" w:eastAsia="Times New Roman" w:hAnsi="Times New Roman" w:cs="Times New Roman"/>
          <w:bCs/>
          <w:color w:val="373737"/>
          <w:sz w:val="20"/>
          <w:szCs w:val="20"/>
          <w:lang w:eastAsia="tr-TR"/>
        </w:rPr>
        <w:t xml:space="preserve"> </w:t>
      </w:r>
      <w:r w:rsidRPr="00EC3F84">
        <w:rPr>
          <w:rFonts w:ascii="Times New Roman" w:eastAsia="Times New Roman" w:hAnsi="Times New Roman" w:cs="Times New Roman"/>
          <w:bCs/>
          <w:color w:val="373737"/>
          <w:sz w:val="20"/>
          <w:szCs w:val="20"/>
          <w:lang w:eastAsia="tr-TR"/>
        </w:rPr>
        <w:t>2.50/4.00,</w:t>
      </w:r>
    </w:p>
    <w:p w:rsidR="00485634" w:rsidRPr="00EC3F84" w:rsidRDefault="00485634" w:rsidP="00485634">
      <w:pPr>
        <w:tabs>
          <w:tab w:val="num" w:pos="720"/>
        </w:tabs>
        <w:rPr>
          <w:rFonts w:ascii="Times New Roman" w:eastAsia="Times New Roman" w:hAnsi="Times New Roman" w:cs="Times New Roman"/>
          <w:bCs/>
          <w:color w:val="373737"/>
          <w:sz w:val="20"/>
          <w:szCs w:val="20"/>
          <w:lang w:eastAsia="tr-TR"/>
        </w:rPr>
      </w:pPr>
      <w:r w:rsidRPr="00EC3F84">
        <w:rPr>
          <w:rFonts w:ascii="Times New Roman" w:eastAsia="Times New Roman" w:hAnsi="Times New Roman" w:cs="Times New Roman"/>
          <w:bCs/>
          <w:color w:val="373737"/>
          <w:sz w:val="20"/>
          <w:szCs w:val="20"/>
          <w:lang w:eastAsia="tr-TR"/>
        </w:rPr>
        <w:lastRenderedPageBreak/>
        <w:t>d) Mevcut öğrenim kademesi içerisinde Erasmus+ ve Hayatboyu Öğrenme (LLP)</w:t>
      </w:r>
      <w:r w:rsidR="00776D36">
        <w:rPr>
          <w:rFonts w:ascii="Times New Roman" w:eastAsia="Times New Roman" w:hAnsi="Times New Roman" w:cs="Times New Roman"/>
          <w:bCs/>
          <w:color w:val="373737"/>
          <w:sz w:val="20"/>
          <w:szCs w:val="20"/>
          <w:lang w:eastAsia="tr-TR"/>
        </w:rPr>
        <w:t xml:space="preserve"> </w:t>
      </w:r>
      <w:r w:rsidRPr="00EC3F84">
        <w:rPr>
          <w:rFonts w:ascii="Times New Roman" w:eastAsia="Times New Roman" w:hAnsi="Times New Roman" w:cs="Times New Roman"/>
          <w:bCs/>
          <w:color w:val="373737"/>
          <w:sz w:val="20"/>
          <w:szCs w:val="20"/>
          <w:lang w:eastAsia="tr-TR"/>
        </w:rPr>
        <w:t>döneminde yükseköğretim hareketliliği faaliyetlerinden yararlanmışsa, yeni faaliyetle beraber toplam sürenin 12 ayı geçmemesi, şartlarını sağlayan tüm öğrenciler hareketliliğe başvuru yapabilirler.</w:t>
      </w:r>
    </w:p>
    <w:p w:rsidR="00634E33" w:rsidRPr="00437E09" w:rsidRDefault="00485634" w:rsidP="00634E33">
      <w:pPr>
        <w:tabs>
          <w:tab w:val="num" w:pos="720"/>
        </w:tabs>
        <w:rPr>
          <w:rFonts w:ascii="Times New Roman" w:eastAsia="Times New Roman" w:hAnsi="Times New Roman" w:cs="Times New Roman"/>
          <w:bCs/>
          <w:color w:val="373737"/>
          <w:sz w:val="20"/>
          <w:szCs w:val="20"/>
          <w:lang w:eastAsia="tr-TR"/>
        </w:rPr>
      </w:pPr>
      <w:r w:rsidRPr="00EC3F84">
        <w:rPr>
          <w:rFonts w:ascii="Times New Roman" w:eastAsia="Times New Roman" w:hAnsi="Times New Roman" w:cs="Times New Roman"/>
          <w:bCs/>
          <w:color w:val="373737"/>
          <w:sz w:val="20"/>
          <w:szCs w:val="20"/>
          <w:lang w:eastAsia="tr-TR"/>
        </w:rPr>
        <w:t xml:space="preserve">Hareketlilik başvurularını değerlendirmede kullanılacak </w:t>
      </w:r>
      <w:r w:rsidRPr="00EC3F84">
        <w:rPr>
          <w:rFonts w:ascii="Times New Roman" w:eastAsia="Times New Roman" w:hAnsi="Times New Roman" w:cs="Times New Roman"/>
          <w:b/>
          <w:bCs/>
          <w:i/>
          <w:iCs/>
          <w:color w:val="373737"/>
          <w:sz w:val="20"/>
          <w:szCs w:val="20"/>
          <w:lang w:eastAsia="tr-TR"/>
        </w:rPr>
        <w:t xml:space="preserve">değerlendirme ölçütleri ve puanlandırma kriterleri </w:t>
      </w:r>
      <w:r w:rsidRPr="00EC3F84">
        <w:rPr>
          <w:rFonts w:ascii="Times New Roman" w:eastAsia="Times New Roman" w:hAnsi="Times New Roman" w:cs="Times New Roman"/>
          <w:bCs/>
          <w:color w:val="373737"/>
          <w:sz w:val="20"/>
          <w:szCs w:val="20"/>
          <w:lang w:eastAsia="tr-TR"/>
        </w:rPr>
        <w:t>şunlardır:</w:t>
      </w:r>
    </w:p>
    <w:tbl>
      <w:tblPr>
        <w:tblW w:w="0" w:type="auto"/>
        <w:tblInd w:w="653" w:type="dxa"/>
        <w:tblLayout w:type="fixed"/>
        <w:tblCellMar>
          <w:left w:w="0" w:type="dxa"/>
          <w:right w:w="0" w:type="dxa"/>
        </w:tblCellMar>
        <w:tblLook w:val="0000" w:firstRow="0" w:lastRow="0" w:firstColumn="0" w:lastColumn="0" w:noHBand="0" w:noVBand="0"/>
      </w:tblPr>
      <w:tblGrid>
        <w:gridCol w:w="5514"/>
        <w:gridCol w:w="2141"/>
      </w:tblGrid>
      <w:tr w:rsidR="00485634" w:rsidRPr="00EC3F84" w:rsidTr="00EF2DC9">
        <w:trPr>
          <w:trHeight w:val="587"/>
        </w:trPr>
        <w:tc>
          <w:tcPr>
            <w:tcW w:w="5514" w:type="dxa"/>
            <w:tcBorders>
              <w:top w:val="single" w:sz="4" w:space="0" w:color="000000"/>
              <w:left w:val="single" w:sz="4" w:space="0" w:color="000000"/>
              <w:bottom w:val="single" w:sz="4" w:space="0" w:color="000000"/>
              <w:right w:val="single" w:sz="4" w:space="0" w:color="000000"/>
            </w:tcBorders>
          </w:tcPr>
          <w:p w:rsidR="00485634" w:rsidRPr="00EC3F84" w:rsidRDefault="00485634" w:rsidP="00EF2DC9">
            <w:pPr>
              <w:kinsoku w:val="0"/>
              <w:overflowPunct w:val="0"/>
              <w:autoSpaceDE w:val="0"/>
              <w:autoSpaceDN w:val="0"/>
              <w:adjustRightInd w:val="0"/>
              <w:spacing w:before="155" w:after="0" w:line="240" w:lineRule="auto"/>
              <w:ind w:left="2449" w:right="2440"/>
              <w:jc w:val="center"/>
              <w:rPr>
                <w:rFonts w:ascii="Times New Roman" w:hAnsi="Times New Roman" w:cs="Times New Roman"/>
                <w:b/>
                <w:bCs/>
                <w:sz w:val="24"/>
                <w:szCs w:val="24"/>
              </w:rPr>
            </w:pPr>
            <w:r w:rsidRPr="00EC3F84">
              <w:rPr>
                <w:rFonts w:ascii="Times New Roman" w:hAnsi="Times New Roman" w:cs="Times New Roman"/>
                <w:b/>
                <w:bCs/>
                <w:sz w:val="24"/>
                <w:szCs w:val="24"/>
              </w:rPr>
              <w:t>Ölçüt</w:t>
            </w:r>
          </w:p>
        </w:tc>
        <w:tc>
          <w:tcPr>
            <w:tcW w:w="2141" w:type="dxa"/>
            <w:tcBorders>
              <w:top w:val="single" w:sz="4" w:space="0" w:color="000000"/>
              <w:left w:val="single" w:sz="4" w:space="0" w:color="000000"/>
              <w:bottom w:val="single" w:sz="4" w:space="0" w:color="000000"/>
              <w:right w:val="single" w:sz="4" w:space="0" w:color="000000"/>
            </w:tcBorders>
          </w:tcPr>
          <w:p w:rsidR="00485634" w:rsidRPr="00EC3F84" w:rsidRDefault="00485634" w:rsidP="00EF2DC9">
            <w:pPr>
              <w:kinsoku w:val="0"/>
              <w:overflowPunct w:val="0"/>
              <w:autoSpaceDE w:val="0"/>
              <w:autoSpaceDN w:val="0"/>
              <w:adjustRightInd w:val="0"/>
              <w:spacing w:before="155" w:after="0" w:line="240" w:lineRule="auto"/>
              <w:ind w:left="319" w:right="311"/>
              <w:jc w:val="center"/>
              <w:rPr>
                <w:rFonts w:ascii="Times New Roman" w:hAnsi="Times New Roman" w:cs="Times New Roman"/>
                <w:b/>
                <w:bCs/>
                <w:sz w:val="24"/>
                <w:szCs w:val="24"/>
              </w:rPr>
            </w:pPr>
            <w:r w:rsidRPr="00EC3F84">
              <w:rPr>
                <w:rFonts w:ascii="Times New Roman" w:hAnsi="Times New Roman" w:cs="Times New Roman"/>
                <w:b/>
                <w:bCs/>
                <w:sz w:val="24"/>
                <w:szCs w:val="24"/>
              </w:rPr>
              <w:t>Ağırlıklı Puan</w:t>
            </w:r>
          </w:p>
        </w:tc>
      </w:tr>
      <w:tr w:rsidR="00485634" w:rsidRPr="00EC3F84" w:rsidTr="00485634">
        <w:trPr>
          <w:trHeight w:val="928"/>
        </w:trPr>
        <w:tc>
          <w:tcPr>
            <w:tcW w:w="5514" w:type="dxa"/>
            <w:tcBorders>
              <w:top w:val="single" w:sz="4" w:space="0" w:color="000000"/>
              <w:left w:val="single" w:sz="4" w:space="0" w:color="000000"/>
              <w:bottom w:val="single" w:sz="4" w:space="0" w:color="000000"/>
              <w:right w:val="single" w:sz="4" w:space="0" w:color="000000"/>
            </w:tcBorders>
          </w:tcPr>
          <w:p w:rsidR="00485634" w:rsidRPr="00EC3F84" w:rsidRDefault="00485634" w:rsidP="00EF2DC9">
            <w:pPr>
              <w:kinsoku w:val="0"/>
              <w:overflowPunct w:val="0"/>
              <w:autoSpaceDE w:val="0"/>
              <w:autoSpaceDN w:val="0"/>
              <w:adjustRightInd w:val="0"/>
              <w:spacing w:after="0" w:line="240" w:lineRule="auto"/>
              <w:rPr>
                <w:rFonts w:ascii="Times New Roman" w:hAnsi="Times New Roman" w:cs="Times New Roman"/>
                <w:sz w:val="24"/>
                <w:szCs w:val="24"/>
              </w:rPr>
            </w:pPr>
          </w:p>
          <w:p w:rsidR="00485634" w:rsidRPr="00EC3F84" w:rsidRDefault="00485634" w:rsidP="00EF2DC9">
            <w:pPr>
              <w:kinsoku w:val="0"/>
              <w:overflowPunct w:val="0"/>
              <w:autoSpaceDE w:val="0"/>
              <w:autoSpaceDN w:val="0"/>
              <w:adjustRightInd w:val="0"/>
              <w:spacing w:after="0" w:line="240" w:lineRule="auto"/>
              <w:ind w:left="108"/>
              <w:rPr>
                <w:rFonts w:ascii="Times New Roman" w:hAnsi="Times New Roman" w:cs="Times New Roman"/>
                <w:i/>
                <w:iCs/>
                <w:sz w:val="24"/>
                <w:szCs w:val="24"/>
              </w:rPr>
            </w:pPr>
            <w:r w:rsidRPr="00EC3F84">
              <w:rPr>
                <w:rFonts w:ascii="Times New Roman" w:hAnsi="Times New Roman" w:cs="Times New Roman"/>
                <w:i/>
                <w:iCs/>
                <w:sz w:val="24"/>
                <w:szCs w:val="24"/>
              </w:rPr>
              <w:t>Akademik başarı düzeyi</w:t>
            </w:r>
          </w:p>
        </w:tc>
        <w:tc>
          <w:tcPr>
            <w:tcW w:w="2141" w:type="dxa"/>
            <w:tcBorders>
              <w:top w:val="single" w:sz="4" w:space="0" w:color="000000"/>
              <w:left w:val="single" w:sz="4" w:space="0" w:color="000000"/>
              <w:bottom w:val="single" w:sz="4" w:space="0" w:color="000000"/>
              <w:right w:val="single" w:sz="4" w:space="0" w:color="000000"/>
            </w:tcBorders>
          </w:tcPr>
          <w:p w:rsidR="00485634" w:rsidRPr="00EC3F84" w:rsidRDefault="00485634" w:rsidP="00EF2DC9">
            <w:pPr>
              <w:kinsoku w:val="0"/>
              <w:overflowPunct w:val="0"/>
              <w:autoSpaceDE w:val="0"/>
              <w:autoSpaceDN w:val="0"/>
              <w:adjustRightInd w:val="0"/>
              <w:spacing w:after="0" w:line="240" w:lineRule="auto"/>
              <w:rPr>
                <w:rFonts w:ascii="Times New Roman" w:hAnsi="Times New Roman" w:cs="Times New Roman"/>
                <w:sz w:val="24"/>
                <w:szCs w:val="24"/>
              </w:rPr>
            </w:pPr>
          </w:p>
          <w:p w:rsidR="00485634" w:rsidRPr="00EC3F84" w:rsidRDefault="00485634" w:rsidP="00EF2DC9">
            <w:pPr>
              <w:kinsoku w:val="0"/>
              <w:overflowPunct w:val="0"/>
              <w:autoSpaceDE w:val="0"/>
              <w:autoSpaceDN w:val="0"/>
              <w:adjustRightInd w:val="0"/>
              <w:spacing w:after="0" w:line="240" w:lineRule="auto"/>
              <w:ind w:left="287" w:right="208" w:hanging="51"/>
              <w:rPr>
                <w:rFonts w:ascii="Times New Roman" w:hAnsi="Times New Roman" w:cs="Times New Roman"/>
                <w:i/>
                <w:iCs/>
                <w:sz w:val="24"/>
                <w:szCs w:val="24"/>
              </w:rPr>
            </w:pPr>
            <w:r w:rsidRPr="00EC3F84">
              <w:rPr>
                <w:rFonts w:ascii="Times New Roman" w:hAnsi="Times New Roman" w:cs="Times New Roman"/>
                <w:i/>
                <w:iCs/>
                <w:sz w:val="24"/>
                <w:szCs w:val="24"/>
              </w:rPr>
              <w:t>%50 (toplam 100 puan üzerinden)</w:t>
            </w:r>
          </w:p>
        </w:tc>
      </w:tr>
      <w:tr w:rsidR="00485634" w:rsidRPr="00EC3F84" w:rsidTr="00485634">
        <w:trPr>
          <w:trHeight w:val="999"/>
        </w:trPr>
        <w:tc>
          <w:tcPr>
            <w:tcW w:w="5514" w:type="dxa"/>
            <w:tcBorders>
              <w:top w:val="single" w:sz="4" w:space="0" w:color="000000"/>
              <w:left w:val="single" w:sz="4" w:space="0" w:color="000000"/>
              <w:bottom w:val="single" w:sz="4" w:space="0" w:color="000000"/>
              <w:right w:val="single" w:sz="4" w:space="0" w:color="000000"/>
            </w:tcBorders>
          </w:tcPr>
          <w:p w:rsidR="00485634" w:rsidRPr="00EC3F84" w:rsidRDefault="00485634" w:rsidP="00EF2DC9">
            <w:pPr>
              <w:kinsoku w:val="0"/>
              <w:overflowPunct w:val="0"/>
              <w:autoSpaceDE w:val="0"/>
              <w:autoSpaceDN w:val="0"/>
              <w:adjustRightInd w:val="0"/>
              <w:spacing w:after="0" w:line="240" w:lineRule="auto"/>
              <w:rPr>
                <w:rFonts w:ascii="Times New Roman" w:hAnsi="Times New Roman" w:cs="Times New Roman"/>
                <w:sz w:val="24"/>
                <w:szCs w:val="24"/>
              </w:rPr>
            </w:pPr>
          </w:p>
          <w:p w:rsidR="00485634" w:rsidRPr="00EC3F84" w:rsidRDefault="00485634" w:rsidP="00EF2DC9">
            <w:pPr>
              <w:kinsoku w:val="0"/>
              <w:overflowPunct w:val="0"/>
              <w:autoSpaceDE w:val="0"/>
              <w:autoSpaceDN w:val="0"/>
              <w:adjustRightInd w:val="0"/>
              <w:spacing w:after="0" w:line="240" w:lineRule="auto"/>
              <w:ind w:left="108"/>
              <w:rPr>
                <w:rFonts w:ascii="Times New Roman" w:hAnsi="Times New Roman" w:cs="Times New Roman"/>
                <w:i/>
                <w:iCs/>
                <w:sz w:val="24"/>
                <w:szCs w:val="24"/>
              </w:rPr>
            </w:pPr>
            <w:r w:rsidRPr="00EC3F84">
              <w:rPr>
                <w:rFonts w:ascii="Times New Roman" w:hAnsi="Times New Roman" w:cs="Times New Roman"/>
                <w:i/>
                <w:iCs/>
                <w:sz w:val="24"/>
                <w:szCs w:val="24"/>
              </w:rPr>
              <w:t>Dil seviyesi</w:t>
            </w:r>
          </w:p>
        </w:tc>
        <w:tc>
          <w:tcPr>
            <w:tcW w:w="2141" w:type="dxa"/>
            <w:tcBorders>
              <w:top w:val="single" w:sz="4" w:space="0" w:color="000000"/>
              <w:left w:val="single" w:sz="4" w:space="0" w:color="000000"/>
              <w:bottom w:val="single" w:sz="4" w:space="0" w:color="000000"/>
              <w:right w:val="single" w:sz="4" w:space="0" w:color="000000"/>
            </w:tcBorders>
          </w:tcPr>
          <w:p w:rsidR="00485634" w:rsidRPr="00EC3F84" w:rsidRDefault="00485634" w:rsidP="00EF2DC9">
            <w:pPr>
              <w:kinsoku w:val="0"/>
              <w:overflowPunct w:val="0"/>
              <w:autoSpaceDE w:val="0"/>
              <w:autoSpaceDN w:val="0"/>
              <w:adjustRightInd w:val="0"/>
              <w:spacing w:after="0" w:line="240" w:lineRule="auto"/>
              <w:rPr>
                <w:rFonts w:ascii="Times New Roman" w:hAnsi="Times New Roman" w:cs="Times New Roman"/>
                <w:sz w:val="24"/>
                <w:szCs w:val="24"/>
              </w:rPr>
            </w:pPr>
          </w:p>
          <w:p w:rsidR="00485634" w:rsidRPr="00EC3F84" w:rsidRDefault="00485634" w:rsidP="00485634">
            <w:pPr>
              <w:kinsoku w:val="0"/>
              <w:overflowPunct w:val="0"/>
              <w:autoSpaceDE w:val="0"/>
              <w:autoSpaceDN w:val="0"/>
              <w:adjustRightInd w:val="0"/>
              <w:spacing w:after="0" w:line="240" w:lineRule="auto"/>
              <w:ind w:left="236" w:right="208"/>
              <w:rPr>
                <w:rFonts w:ascii="Times New Roman" w:hAnsi="Times New Roman" w:cs="Times New Roman"/>
                <w:i/>
                <w:iCs/>
                <w:sz w:val="24"/>
                <w:szCs w:val="24"/>
              </w:rPr>
            </w:pPr>
            <w:r w:rsidRPr="00EC3F84">
              <w:rPr>
                <w:rFonts w:ascii="Times New Roman" w:hAnsi="Times New Roman" w:cs="Times New Roman"/>
                <w:i/>
                <w:iCs/>
                <w:sz w:val="24"/>
                <w:szCs w:val="24"/>
              </w:rPr>
              <w:t>%50 (toplam 100 puan üzerinden)</w:t>
            </w:r>
          </w:p>
        </w:tc>
      </w:tr>
      <w:tr w:rsidR="00485634" w:rsidRPr="00EC3F84" w:rsidTr="00EF2DC9">
        <w:trPr>
          <w:trHeight w:val="908"/>
        </w:trPr>
        <w:tc>
          <w:tcPr>
            <w:tcW w:w="5514" w:type="dxa"/>
            <w:tcBorders>
              <w:top w:val="single" w:sz="4" w:space="0" w:color="000000"/>
              <w:left w:val="single" w:sz="4" w:space="0" w:color="000000"/>
              <w:bottom w:val="single" w:sz="4" w:space="0" w:color="000000"/>
              <w:right w:val="single" w:sz="4" w:space="0" w:color="000000"/>
            </w:tcBorders>
          </w:tcPr>
          <w:p w:rsidR="00485634" w:rsidRPr="00EC3F84" w:rsidRDefault="00485634" w:rsidP="00EF2DC9">
            <w:pPr>
              <w:kinsoku w:val="0"/>
              <w:overflowPunct w:val="0"/>
              <w:autoSpaceDE w:val="0"/>
              <w:autoSpaceDN w:val="0"/>
              <w:adjustRightInd w:val="0"/>
              <w:spacing w:after="0" w:line="240" w:lineRule="auto"/>
              <w:rPr>
                <w:rFonts w:ascii="Times New Roman" w:hAnsi="Times New Roman" w:cs="Times New Roman"/>
                <w:sz w:val="24"/>
                <w:szCs w:val="24"/>
              </w:rPr>
            </w:pPr>
          </w:p>
          <w:p w:rsidR="00485634" w:rsidRPr="00EC3F84" w:rsidRDefault="00485634" w:rsidP="00EF2DC9">
            <w:pPr>
              <w:kinsoku w:val="0"/>
              <w:overflowPunct w:val="0"/>
              <w:autoSpaceDE w:val="0"/>
              <w:autoSpaceDN w:val="0"/>
              <w:adjustRightInd w:val="0"/>
              <w:spacing w:after="0" w:line="240" w:lineRule="auto"/>
              <w:ind w:left="108"/>
              <w:rPr>
                <w:rFonts w:ascii="Times New Roman" w:hAnsi="Times New Roman" w:cs="Times New Roman"/>
                <w:i/>
                <w:iCs/>
                <w:sz w:val="24"/>
                <w:szCs w:val="24"/>
              </w:rPr>
            </w:pPr>
            <w:r w:rsidRPr="00EC3F84">
              <w:rPr>
                <w:rFonts w:ascii="Times New Roman" w:hAnsi="Times New Roman" w:cs="Times New Roman"/>
                <w:i/>
                <w:iCs/>
                <w:sz w:val="24"/>
                <w:szCs w:val="24"/>
              </w:rPr>
              <w:t>Şehit ve gazi çocuklarına</w:t>
            </w:r>
          </w:p>
        </w:tc>
        <w:tc>
          <w:tcPr>
            <w:tcW w:w="2141" w:type="dxa"/>
            <w:tcBorders>
              <w:top w:val="single" w:sz="4" w:space="0" w:color="000000"/>
              <w:left w:val="single" w:sz="4" w:space="0" w:color="000000"/>
              <w:bottom w:val="single" w:sz="4" w:space="0" w:color="000000"/>
              <w:right w:val="single" w:sz="4" w:space="0" w:color="000000"/>
            </w:tcBorders>
          </w:tcPr>
          <w:p w:rsidR="00485634" w:rsidRPr="00EC3F84" w:rsidRDefault="00485634" w:rsidP="00EF2DC9">
            <w:pPr>
              <w:kinsoku w:val="0"/>
              <w:overflowPunct w:val="0"/>
              <w:autoSpaceDE w:val="0"/>
              <w:autoSpaceDN w:val="0"/>
              <w:adjustRightInd w:val="0"/>
              <w:spacing w:after="0" w:line="240" w:lineRule="auto"/>
              <w:rPr>
                <w:rFonts w:ascii="Times New Roman" w:hAnsi="Times New Roman" w:cs="Times New Roman"/>
                <w:sz w:val="24"/>
                <w:szCs w:val="24"/>
              </w:rPr>
            </w:pPr>
          </w:p>
          <w:p w:rsidR="00485634" w:rsidRPr="00EC3F84" w:rsidRDefault="00485634" w:rsidP="00EF2DC9">
            <w:pPr>
              <w:kinsoku w:val="0"/>
              <w:overflowPunct w:val="0"/>
              <w:autoSpaceDE w:val="0"/>
              <w:autoSpaceDN w:val="0"/>
              <w:adjustRightInd w:val="0"/>
              <w:spacing w:after="0" w:line="240" w:lineRule="auto"/>
              <w:ind w:left="319" w:right="309"/>
              <w:jc w:val="center"/>
              <w:rPr>
                <w:rFonts w:ascii="Times New Roman" w:hAnsi="Times New Roman" w:cs="Times New Roman"/>
                <w:i/>
                <w:iCs/>
                <w:position w:val="7"/>
                <w:sz w:val="16"/>
                <w:szCs w:val="16"/>
              </w:rPr>
            </w:pPr>
            <w:r w:rsidRPr="00EC3F84">
              <w:rPr>
                <w:rFonts w:ascii="Times New Roman" w:hAnsi="Times New Roman" w:cs="Times New Roman"/>
                <w:i/>
                <w:iCs/>
                <w:sz w:val="24"/>
                <w:szCs w:val="24"/>
              </w:rPr>
              <w:t>+15 puan</w:t>
            </w:r>
            <w:r w:rsidRPr="00EC3F84">
              <w:rPr>
                <w:rFonts w:ascii="Times New Roman" w:hAnsi="Times New Roman" w:cs="Times New Roman"/>
                <w:i/>
                <w:iCs/>
                <w:position w:val="7"/>
                <w:sz w:val="16"/>
                <w:szCs w:val="16"/>
              </w:rPr>
              <w:t>3</w:t>
            </w:r>
          </w:p>
        </w:tc>
      </w:tr>
      <w:tr w:rsidR="00485634" w:rsidRPr="00EC3F84" w:rsidTr="00EF2DC9">
        <w:trPr>
          <w:trHeight w:val="1184"/>
        </w:trPr>
        <w:tc>
          <w:tcPr>
            <w:tcW w:w="5514" w:type="dxa"/>
            <w:tcBorders>
              <w:top w:val="single" w:sz="4" w:space="0" w:color="000000"/>
              <w:left w:val="single" w:sz="4" w:space="0" w:color="000000"/>
              <w:bottom w:val="single" w:sz="4" w:space="0" w:color="000000"/>
              <w:right w:val="single" w:sz="4" w:space="0" w:color="000000"/>
            </w:tcBorders>
          </w:tcPr>
          <w:p w:rsidR="00485634" w:rsidRPr="00EC3F84" w:rsidRDefault="00485634" w:rsidP="00EF2DC9">
            <w:pPr>
              <w:kinsoku w:val="0"/>
              <w:overflowPunct w:val="0"/>
              <w:autoSpaceDE w:val="0"/>
              <w:autoSpaceDN w:val="0"/>
              <w:adjustRightInd w:val="0"/>
              <w:spacing w:after="0" w:line="240" w:lineRule="auto"/>
              <w:rPr>
                <w:rFonts w:ascii="Times New Roman" w:hAnsi="Times New Roman" w:cs="Times New Roman"/>
                <w:sz w:val="24"/>
                <w:szCs w:val="24"/>
              </w:rPr>
            </w:pPr>
          </w:p>
          <w:p w:rsidR="00485634" w:rsidRPr="00EC3F84" w:rsidRDefault="00485634" w:rsidP="00EF2DC9">
            <w:pPr>
              <w:kinsoku w:val="0"/>
              <w:overflowPunct w:val="0"/>
              <w:autoSpaceDE w:val="0"/>
              <w:autoSpaceDN w:val="0"/>
              <w:adjustRightInd w:val="0"/>
              <w:spacing w:after="0" w:line="240" w:lineRule="auto"/>
              <w:ind w:left="108"/>
              <w:rPr>
                <w:rFonts w:ascii="Times New Roman" w:hAnsi="Times New Roman" w:cs="Times New Roman"/>
                <w:i/>
                <w:iCs/>
                <w:sz w:val="24"/>
                <w:szCs w:val="24"/>
              </w:rPr>
            </w:pPr>
            <w:r w:rsidRPr="00EC3F84">
              <w:rPr>
                <w:rFonts w:ascii="Times New Roman" w:hAnsi="Times New Roman" w:cs="Times New Roman"/>
                <w:i/>
                <w:iCs/>
                <w:sz w:val="24"/>
                <w:szCs w:val="24"/>
              </w:rPr>
              <w:t>Engelli öğrencilere (engelliliğin belgelenmesi</w:t>
            </w:r>
          </w:p>
          <w:p w:rsidR="00485634" w:rsidRPr="00EC3F84" w:rsidRDefault="00485634" w:rsidP="00EF2DC9">
            <w:pPr>
              <w:kinsoku w:val="0"/>
              <w:overflowPunct w:val="0"/>
              <w:autoSpaceDE w:val="0"/>
              <w:autoSpaceDN w:val="0"/>
              <w:adjustRightInd w:val="0"/>
              <w:spacing w:after="0" w:line="240" w:lineRule="auto"/>
              <w:ind w:left="108"/>
              <w:rPr>
                <w:rFonts w:ascii="Times New Roman" w:hAnsi="Times New Roman" w:cs="Times New Roman"/>
                <w:i/>
                <w:iCs/>
                <w:sz w:val="24"/>
                <w:szCs w:val="24"/>
              </w:rPr>
            </w:pPr>
            <w:r w:rsidRPr="00EC3F84">
              <w:rPr>
                <w:rFonts w:ascii="Times New Roman" w:hAnsi="Times New Roman" w:cs="Times New Roman"/>
                <w:i/>
                <w:iCs/>
                <w:sz w:val="24"/>
                <w:szCs w:val="24"/>
              </w:rPr>
              <w:t>kaydıyla)</w:t>
            </w:r>
          </w:p>
        </w:tc>
        <w:tc>
          <w:tcPr>
            <w:tcW w:w="2141" w:type="dxa"/>
            <w:tcBorders>
              <w:top w:val="single" w:sz="4" w:space="0" w:color="000000"/>
              <w:left w:val="single" w:sz="4" w:space="0" w:color="000000"/>
              <w:bottom w:val="single" w:sz="4" w:space="0" w:color="000000"/>
              <w:right w:val="single" w:sz="4" w:space="0" w:color="000000"/>
            </w:tcBorders>
          </w:tcPr>
          <w:p w:rsidR="00485634" w:rsidRPr="00EC3F84" w:rsidRDefault="00485634" w:rsidP="00EF2DC9">
            <w:pPr>
              <w:kinsoku w:val="0"/>
              <w:overflowPunct w:val="0"/>
              <w:autoSpaceDE w:val="0"/>
              <w:autoSpaceDN w:val="0"/>
              <w:adjustRightInd w:val="0"/>
              <w:spacing w:after="0" w:line="240" w:lineRule="auto"/>
              <w:rPr>
                <w:rFonts w:ascii="Times New Roman" w:hAnsi="Times New Roman" w:cs="Times New Roman"/>
                <w:sz w:val="24"/>
                <w:szCs w:val="24"/>
              </w:rPr>
            </w:pPr>
          </w:p>
          <w:p w:rsidR="00485634" w:rsidRPr="00EC3F84" w:rsidRDefault="00485634" w:rsidP="00EF2DC9">
            <w:pPr>
              <w:kinsoku w:val="0"/>
              <w:overflowPunct w:val="0"/>
              <w:autoSpaceDE w:val="0"/>
              <w:autoSpaceDN w:val="0"/>
              <w:adjustRightInd w:val="0"/>
              <w:spacing w:after="0" w:line="240" w:lineRule="auto"/>
              <w:ind w:left="319" w:right="310"/>
              <w:jc w:val="center"/>
              <w:rPr>
                <w:rFonts w:ascii="Times New Roman" w:hAnsi="Times New Roman" w:cs="Times New Roman"/>
                <w:i/>
                <w:iCs/>
                <w:sz w:val="24"/>
                <w:szCs w:val="24"/>
              </w:rPr>
            </w:pPr>
            <w:r w:rsidRPr="00EC3F84">
              <w:rPr>
                <w:rFonts w:ascii="Times New Roman" w:hAnsi="Times New Roman" w:cs="Times New Roman"/>
                <w:i/>
                <w:iCs/>
                <w:sz w:val="24"/>
                <w:szCs w:val="24"/>
              </w:rPr>
              <w:t>+10 puan</w:t>
            </w:r>
          </w:p>
        </w:tc>
      </w:tr>
      <w:tr w:rsidR="00485634" w:rsidRPr="00EC3F84" w:rsidTr="00EF2DC9">
        <w:trPr>
          <w:trHeight w:val="1379"/>
        </w:trPr>
        <w:tc>
          <w:tcPr>
            <w:tcW w:w="5514" w:type="dxa"/>
            <w:tcBorders>
              <w:top w:val="single" w:sz="4" w:space="0" w:color="000000"/>
              <w:left w:val="single" w:sz="4" w:space="0" w:color="000000"/>
              <w:bottom w:val="single" w:sz="4" w:space="0" w:color="000000"/>
              <w:right w:val="single" w:sz="4" w:space="0" w:color="000000"/>
            </w:tcBorders>
          </w:tcPr>
          <w:p w:rsidR="00485634" w:rsidRPr="00EC3F84" w:rsidRDefault="00485634" w:rsidP="00EF2DC9">
            <w:pPr>
              <w:kinsoku w:val="0"/>
              <w:overflowPunct w:val="0"/>
              <w:autoSpaceDE w:val="0"/>
              <w:autoSpaceDN w:val="0"/>
              <w:adjustRightInd w:val="0"/>
              <w:spacing w:after="0" w:line="240" w:lineRule="auto"/>
              <w:rPr>
                <w:rFonts w:ascii="Times New Roman" w:hAnsi="Times New Roman" w:cs="Times New Roman"/>
                <w:sz w:val="24"/>
                <w:szCs w:val="24"/>
              </w:rPr>
            </w:pPr>
          </w:p>
          <w:p w:rsidR="00485634" w:rsidRPr="00EC3F84" w:rsidRDefault="00485634" w:rsidP="00EF2DC9">
            <w:pPr>
              <w:kinsoku w:val="0"/>
              <w:overflowPunct w:val="0"/>
              <w:autoSpaceDE w:val="0"/>
              <w:autoSpaceDN w:val="0"/>
              <w:adjustRightInd w:val="0"/>
              <w:spacing w:after="0" w:line="240" w:lineRule="auto"/>
              <w:ind w:left="108" w:right="97"/>
              <w:jc w:val="both"/>
              <w:rPr>
                <w:rFonts w:ascii="Times New Roman" w:hAnsi="Times New Roman" w:cs="Times New Roman"/>
                <w:i/>
                <w:iCs/>
                <w:sz w:val="24"/>
                <w:szCs w:val="24"/>
              </w:rPr>
            </w:pPr>
            <w:r w:rsidRPr="00EC3F84">
              <w:rPr>
                <w:rFonts w:ascii="Times New Roman" w:hAnsi="Times New Roman" w:cs="Times New Roman"/>
                <w:i/>
                <w:iCs/>
                <w:sz w:val="24"/>
                <w:szCs w:val="24"/>
              </w:rPr>
              <w:t>2828 Sayılı Sosyal Hizmetler Kanunu Kapsamında haklarında korunma, bakım veya barınma kararı alınmış öğrencilere</w:t>
            </w:r>
          </w:p>
        </w:tc>
        <w:tc>
          <w:tcPr>
            <w:tcW w:w="2141" w:type="dxa"/>
            <w:tcBorders>
              <w:top w:val="single" w:sz="4" w:space="0" w:color="000000"/>
              <w:left w:val="single" w:sz="4" w:space="0" w:color="000000"/>
              <w:bottom w:val="single" w:sz="4" w:space="0" w:color="000000"/>
              <w:right w:val="single" w:sz="4" w:space="0" w:color="000000"/>
            </w:tcBorders>
          </w:tcPr>
          <w:p w:rsidR="00485634" w:rsidRPr="00EC3F84" w:rsidRDefault="00485634" w:rsidP="00EF2DC9">
            <w:pPr>
              <w:kinsoku w:val="0"/>
              <w:overflowPunct w:val="0"/>
              <w:autoSpaceDE w:val="0"/>
              <w:autoSpaceDN w:val="0"/>
              <w:adjustRightInd w:val="0"/>
              <w:spacing w:after="0" w:line="240" w:lineRule="auto"/>
              <w:rPr>
                <w:rFonts w:ascii="Times New Roman" w:hAnsi="Times New Roman" w:cs="Times New Roman"/>
                <w:sz w:val="26"/>
                <w:szCs w:val="26"/>
              </w:rPr>
            </w:pPr>
          </w:p>
          <w:p w:rsidR="00485634" w:rsidRPr="00EC3F84" w:rsidRDefault="00485634" w:rsidP="00EF2DC9">
            <w:pPr>
              <w:kinsoku w:val="0"/>
              <w:overflowPunct w:val="0"/>
              <w:autoSpaceDE w:val="0"/>
              <w:autoSpaceDN w:val="0"/>
              <w:adjustRightInd w:val="0"/>
              <w:spacing w:after="0" w:line="240" w:lineRule="auto"/>
              <w:ind w:left="319" w:right="309"/>
              <w:jc w:val="center"/>
              <w:rPr>
                <w:rFonts w:ascii="Times New Roman" w:hAnsi="Times New Roman" w:cs="Times New Roman"/>
                <w:i/>
                <w:iCs/>
                <w:position w:val="7"/>
                <w:sz w:val="16"/>
                <w:szCs w:val="16"/>
              </w:rPr>
            </w:pPr>
            <w:r w:rsidRPr="00EC3F84">
              <w:rPr>
                <w:rFonts w:ascii="Times New Roman" w:hAnsi="Times New Roman" w:cs="Times New Roman"/>
                <w:i/>
                <w:iCs/>
                <w:sz w:val="24"/>
                <w:szCs w:val="24"/>
              </w:rPr>
              <w:t>+10 puan</w:t>
            </w:r>
            <w:r w:rsidRPr="00EC3F84">
              <w:rPr>
                <w:rFonts w:ascii="Times New Roman" w:hAnsi="Times New Roman" w:cs="Times New Roman"/>
                <w:i/>
                <w:iCs/>
                <w:position w:val="7"/>
                <w:sz w:val="16"/>
                <w:szCs w:val="16"/>
              </w:rPr>
              <w:t>4</w:t>
            </w:r>
          </w:p>
        </w:tc>
      </w:tr>
      <w:tr w:rsidR="00485634" w:rsidRPr="00EC3F84" w:rsidTr="00EF2DC9">
        <w:trPr>
          <w:trHeight w:val="827"/>
        </w:trPr>
        <w:tc>
          <w:tcPr>
            <w:tcW w:w="5514" w:type="dxa"/>
            <w:tcBorders>
              <w:top w:val="single" w:sz="4" w:space="0" w:color="000000"/>
              <w:left w:val="single" w:sz="4" w:space="0" w:color="000000"/>
              <w:bottom w:val="single" w:sz="4" w:space="0" w:color="000000"/>
              <w:right w:val="single" w:sz="4" w:space="0" w:color="000000"/>
            </w:tcBorders>
          </w:tcPr>
          <w:p w:rsidR="00485634" w:rsidRPr="00EC3F84" w:rsidRDefault="00485634" w:rsidP="00EF2DC9">
            <w:pPr>
              <w:kinsoku w:val="0"/>
              <w:overflowPunct w:val="0"/>
              <w:autoSpaceDE w:val="0"/>
              <w:autoSpaceDN w:val="0"/>
              <w:adjustRightInd w:val="0"/>
              <w:spacing w:after="0" w:line="240" w:lineRule="auto"/>
              <w:rPr>
                <w:rFonts w:ascii="Times New Roman" w:hAnsi="Times New Roman" w:cs="Times New Roman"/>
                <w:sz w:val="24"/>
                <w:szCs w:val="24"/>
              </w:rPr>
            </w:pPr>
          </w:p>
          <w:p w:rsidR="00485634" w:rsidRPr="00EC3F84" w:rsidRDefault="00485634" w:rsidP="00EF2DC9">
            <w:pPr>
              <w:kinsoku w:val="0"/>
              <w:overflowPunct w:val="0"/>
              <w:autoSpaceDE w:val="0"/>
              <w:autoSpaceDN w:val="0"/>
              <w:adjustRightInd w:val="0"/>
              <w:spacing w:after="0" w:line="240" w:lineRule="auto"/>
              <w:ind w:left="108"/>
              <w:rPr>
                <w:rFonts w:ascii="Times New Roman" w:hAnsi="Times New Roman" w:cs="Times New Roman"/>
                <w:i/>
                <w:iCs/>
                <w:sz w:val="24"/>
                <w:szCs w:val="24"/>
              </w:rPr>
            </w:pPr>
            <w:r w:rsidRPr="00EC3F84">
              <w:rPr>
                <w:rFonts w:ascii="Times New Roman" w:hAnsi="Times New Roman" w:cs="Times New Roman"/>
                <w:i/>
                <w:iCs/>
                <w:sz w:val="24"/>
                <w:szCs w:val="24"/>
              </w:rPr>
              <w:t>Daha önce yararlanma (hibeli veya hibesiz)</w:t>
            </w:r>
          </w:p>
        </w:tc>
        <w:tc>
          <w:tcPr>
            <w:tcW w:w="2141" w:type="dxa"/>
            <w:tcBorders>
              <w:top w:val="single" w:sz="4" w:space="0" w:color="000000"/>
              <w:left w:val="single" w:sz="4" w:space="0" w:color="000000"/>
              <w:bottom w:val="single" w:sz="4" w:space="0" w:color="000000"/>
              <w:right w:val="single" w:sz="4" w:space="0" w:color="000000"/>
            </w:tcBorders>
          </w:tcPr>
          <w:p w:rsidR="00485634" w:rsidRPr="00EC3F84" w:rsidRDefault="00485634" w:rsidP="00EF2DC9">
            <w:pPr>
              <w:kinsoku w:val="0"/>
              <w:overflowPunct w:val="0"/>
              <w:autoSpaceDE w:val="0"/>
              <w:autoSpaceDN w:val="0"/>
              <w:adjustRightInd w:val="0"/>
              <w:spacing w:after="0" w:line="240" w:lineRule="auto"/>
              <w:rPr>
                <w:rFonts w:ascii="Times New Roman" w:hAnsi="Times New Roman" w:cs="Times New Roman"/>
                <w:sz w:val="24"/>
                <w:szCs w:val="24"/>
              </w:rPr>
            </w:pPr>
          </w:p>
          <w:p w:rsidR="00485634" w:rsidRPr="00EC3F84" w:rsidRDefault="00485634" w:rsidP="00EF2DC9">
            <w:pPr>
              <w:kinsoku w:val="0"/>
              <w:overflowPunct w:val="0"/>
              <w:autoSpaceDE w:val="0"/>
              <w:autoSpaceDN w:val="0"/>
              <w:adjustRightInd w:val="0"/>
              <w:spacing w:after="0" w:line="240" w:lineRule="auto"/>
              <w:ind w:left="319" w:right="310"/>
              <w:jc w:val="center"/>
              <w:rPr>
                <w:rFonts w:ascii="Times New Roman" w:hAnsi="Times New Roman" w:cs="Times New Roman"/>
                <w:i/>
                <w:iCs/>
                <w:sz w:val="24"/>
                <w:szCs w:val="24"/>
              </w:rPr>
            </w:pPr>
            <w:r w:rsidRPr="00EC3F84">
              <w:rPr>
                <w:rFonts w:ascii="Times New Roman" w:hAnsi="Times New Roman" w:cs="Times New Roman"/>
                <w:i/>
                <w:iCs/>
                <w:sz w:val="24"/>
                <w:szCs w:val="24"/>
              </w:rPr>
              <w:t>-10 puan</w:t>
            </w:r>
          </w:p>
        </w:tc>
      </w:tr>
      <w:tr w:rsidR="00485634" w:rsidRPr="00EC3F84" w:rsidTr="00485634">
        <w:trPr>
          <w:trHeight w:val="827"/>
        </w:trPr>
        <w:tc>
          <w:tcPr>
            <w:tcW w:w="5514" w:type="dxa"/>
            <w:tcBorders>
              <w:top w:val="single" w:sz="4" w:space="0" w:color="000000"/>
              <w:left w:val="single" w:sz="4" w:space="0" w:color="000000"/>
              <w:bottom w:val="single" w:sz="4" w:space="0" w:color="000000"/>
              <w:right w:val="single" w:sz="4" w:space="0" w:color="000000"/>
            </w:tcBorders>
          </w:tcPr>
          <w:p w:rsidR="00485634" w:rsidRPr="00485634" w:rsidRDefault="00485634" w:rsidP="00485634">
            <w:pPr>
              <w:kinsoku w:val="0"/>
              <w:overflowPunct w:val="0"/>
              <w:autoSpaceDE w:val="0"/>
              <w:autoSpaceDN w:val="0"/>
              <w:adjustRightInd w:val="0"/>
              <w:spacing w:after="0" w:line="240" w:lineRule="auto"/>
              <w:ind w:left="108"/>
              <w:rPr>
                <w:rFonts w:ascii="Times New Roman" w:hAnsi="Times New Roman" w:cs="Times New Roman"/>
                <w:i/>
                <w:iCs/>
                <w:sz w:val="24"/>
                <w:szCs w:val="24"/>
              </w:rPr>
            </w:pPr>
          </w:p>
          <w:p w:rsidR="00485634" w:rsidRPr="00485634" w:rsidRDefault="00485634" w:rsidP="00485634">
            <w:pPr>
              <w:kinsoku w:val="0"/>
              <w:overflowPunct w:val="0"/>
              <w:autoSpaceDE w:val="0"/>
              <w:autoSpaceDN w:val="0"/>
              <w:adjustRightInd w:val="0"/>
              <w:spacing w:after="0" w:line="240" w:lineRule="auto"/>
              <w:ind w:left="108"/>
              <w:rPr>
                <w:rFonts w:ascii="Times New Roman" w:hAnsi="Times New Roman" w:cs="Times New Roman"/>
                <w:i/>
                <w:iCs/>
                <w:sz w:val="24"/>
                <w:szCs w:val="24"/>
              </w:rPr>
            </w:pPr>
            <w:r w:rsidRPr="00485634">
              <w:rPr>
                <w:rFonts w:ascii="Times New Roman" w:hAnsi="Times New Roman" w:cs="Times New Roman"/>
                <w:i/>
                <w:iCs/>
                <w:sz w:val="24"/>
                <w:szCs w:val="24"/>
              </w:rPr>
              <w:t>Vatandaşı olunan ülkede hareketliliğe katılma</w:t>
            </w:r>
          </w:p>
        </w:tc>
        <w:tc>
          <w:tcPr>
            <w:tcW w:w="2141" w:type="dxa"/>
            <w:tcBorders>
              <w:top w:val="single" w:sz="4" w:space="0" w:color="000000"/>
              <w:left w:val="single" w:sz="4" w:space="0" w:color="000000"/>
              <w:bottom w:val="single" w:sz="4" w:space="0" w:color="000000"/>
              <w:right w:val="single" w:sz="4" w:space="0" w:color="000000"/>
            </w:tcBorders>
          </w:tcPr>
          <w:p w:rsidR="00485634" w:rsidRPr="00EC3F84" w:rsidRDefault="00485634" w:rsidP="00485634">
            <w:pPr>
              <w:kinsoku w:val="0"/>
              <w:overflowPunct w:val="0"/>
              <w:autoSpaceDE w:val="0"/>
              <w:autoSpaceDN w:val="0"/>
              <w:adjustRightInd w:val="0"/>
              <w:spacing w:after="0" w:line="240" w:lineRule="auto"/>
              <w:jc w:val="center"/>
              <w:rPr>
                <w:rFonts w:ascii="Times New Roman" w:hAnsi="Times New Roman" w:cs="Times New Roman"/>
                <w:sz w:val="24"/>
                <w:szCs w:val="24"/>
              </w:rPr>
            </w:pPr>
          </w:p>
          <w:p w:rsidR="00485634" w:rsidRPr="00485634" w:rsidRDefault="00485634" w:rsidP="00485634">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485634">
              <w:rPr>
                <w:rFonts w:ascii="Times New Roman" w:hAnsi="Times New Roman" w:cs="Times New Roman"/>
                <w:sz w:val="24"/>
                <w:szCs w:val="24"/>
              </w:rPr>
              <w:t>-10 puan</w:t>
            </w:r>
          </w:p>
        </w:tc>
      </w:tr>
      <w:tr w:rsidR="00485634" w:rsidRPr="00EC3F84" w:rsidTr="00485634">
        <w:trPr>
          <w:trHeight w:val="827"/>
        </w:trPr>
        <w:tc>
          <w:tcPr>
            <w:tcW w:w="5514" w:type="dxa"/>
            <w:tcBorders>
              <w:top w:val="single" w:sz="4" w:space="0" w:color="000000"/>
              <w:left w:val="single" w:sz="4" w:space="0" w:color="000000"/>
              <w:bottom w:val="single" w:sz="4" w:space="0" w:color="000000"/>
              <w:right w:val="single" w:sz="4" w:space="0" w:color="000000"/>
            </w:tcBorders>
          </w:tcPr>
          <w:p w:rsidR="00485634" w:rsidRPr="00485634" w:rsidRDefault="00485634" w:rsidP="00485634">
            <w:pPr>
              <w:kinsoku w:val="0"/>
              <w:overflowPunct w:val="0"/>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 </w:t>
            </w:r>
            <w:r w:rsidRPr="00485634">
              <w:rPr>
                <w:rFonts w:ascii="Times New Roman" w:hAnsi="Times New Roman" w:cs="Times New Roman"/>
                <w:i/>
                <w:iCs/>
                <w:sz w:val="24"/>
                <w:szCs w:val="24"/>
              </w:rPr>
              <w:t xml:space="preserve">Hareketliliğe seçildiği halde süresinde feragat </w:t>
            </w:r>
            <w:r>
              <w:rPr>
                <w:rFonts w:ascii="Times New Roman" w:hAnsi="Times New Roman" w:cs="Times New Roman"/>
                <w:i/>
                <w:iCs/>
                <w:sz w:val="24"/>
                <w:szCs w:val="24"/>
              </w:rPr>
              <w:t xml:space="preserve"> </w:t>
            </w:r>
            <w:r w:rsidRPr="00485634">
              <w:rPr>
                <w:rFonts w:ascii="Times New Roman" w:hAnsi="Times New Roman" w:cs="Times New Roman"/>
                <w:i/>
                <w:iCs/>
                <w:sz w:val="24"/>
                <w:szCs w:val="24"/>
              </w:rPr>
              <w:t>bildiriminde bulunmaksızın hareketliliğe katılmama</w:t>
            </w:r>
          </w:p>
        </w:tc>
        <w:tc>
          <w:tcPr>
            <w:tcW w:w="2141" w:type="dxa"/>
            <w:tcBorders>
              <w:top w:val="single" w:sz="4" w:space="0" w:color="000000"/>
              <w:left w:val="single" w:sz="4" w:space="0" w:color="000000"/>
              <w:bottom w:val="single" w:sz="4" w:space="0" w:color="000000"/>
              <w:right w:val="single" w:sz="4" w:space="0" w:color="000000"/>
            </w:tcBorders>
          </w:tcPr>
          <w:p w:rsidR="00485634" w:rsidRPr="00485634" w:rsidRDefault="00485634" w:rsidP="00485634">
            <w:pPr>
              <w:kinsoku w:val="0"/>
              <w:overflowPunct w:val="0"/>
              <w:autoSpaceDE w:val="0"/>
              <w:autoSpaceDN w:val="0"/>
              <w:adjustRightInd w:val="0"/>
              <w:spacing w:after="0" w:line="240" w:lineRule="auto"/>
              <w:jc w:val="center"/>
              <w:rPr>
                <w:rFonts w:ascii="Times New Roman" w:hAnsi="Times New Roman" w:cs="Times New Roman"/>
                <w:sz w:val="24"/>
                <w:szCs w:val="24"/>
              </w:rPr>
            </w:pPr>
          </w:p>
          <w:p w:rsidR="00485634" w:rsidRPr="00485634" w:rsidRDefault="00485634" w:rsidP="00485634">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485634">
              <w:rPr>
                <w:rFonts w:ascii="Times New Roman" w:hAnsi="Times New Roman" w:cs="Times New Roman"/>
                <w:sz w:val="24"/>
                <w:szCs w:val="24"/>
              </w:rPr>
              <w:t>-10 puan</w:t>
            </w:r>
          </w:p>
        </w:tc>
      </w:tr>
      <w:tr w:rsidR="00485634" w:rsidRPr="00EC3F84" w:rsidTr="00485634">
        <w:trPr>
          <w:trHeight w:val="827"/>
        </w:trPr>
        <w:tc>
          <w:tcPr>
            <w:tcW w:w="5514" w:type="dxa"/>
            <w:tcBorders>
              <w:top w:val="single" w:sz="4" w:space="0" w:color="000000"/>
              <w:left w:val="single" w:sz="4" w:space="0" w:color="000000"/>
              <w:bottom w:val="single" w:sz="4" w:space="0" w:color="000000"/>
              <w:right w:val="single" w:sz="4" w:space="0" w:color="000000"/>
            </w:tcBorders>
          </w:tcPr>
          <w:p w:rsidR="00485634" w:rsidRPr="00485634" w:rsidRDefault="00485634" w:rsidP="00485634">
            <w:pPr>
              <w:kinsoku w:val="0"/>
              <w:overflowPunct w:val="0"/>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  </w:t>
            </w:r>
            <w:r w:rsidRPr="00485634">
              <w:rPr>
                <w:rFonts w:ascii="Times New Roman" w:hAnsi="Times New Roman" w:cs="Times New Roman"/>
                <w:i/>
                <w:iCs/>
                <w:sz w:val="24"/>
                <w:szCs w:val="24"/>
              </w:rPr>
              <w:t xml:space="preserve">İki hareketlilik türüne birden aynı anda başvurma (öğrencinin tercih ettiği hareketlilik türüne azaltma </w:t>
            </w:r>
            <w:r>
              <w:rPr>
                <w:rFonts w:ascii="Times New Roman" w:hAnsi="Times New Roman" w:cs="Times New Roman"/>
                <w:i/>
                <w:iCs/>
                <w:sz w:val="24"/>
                <w:szCs w:val="24"/>
              </w:rPr>
              <w:t xml:space="preserve">   </w:t>
            </w:r>
            <w:r w:rsidRPr="00485634">
              <w:rPr>
                <w:rFonts w:ascii="Times New Roman" w:hAnsi="Times New Roman" w:cs="Times New Roman"/>
                <w:i/>
                <w:iCs/>
                <w:sz w:val="24"/>
                <w:szCs w:val="24"/>
              </w:rPr>
              <w:t>uygulanır)</w:t>
            </w:r>
          </w:p>
        </w:tc>
        <w:tc>
          <w:tcPr>
            <w:tcW w:w="2141" w:type="dxa"/>
            <w:tcBorders>
              <w:top w:val="single" w:sz="4" w:space="0" w:color="000000"/>
              <w:left w:val="single" w:sz="4" w:space="0" w:color="000000"/>
              <w:bottom w:val="single" w:sz="4" w:space="0" w:color="000000"/>
              <w:right w:val="single" w:sz="4" w:space="0" w:color="000000"/>
            </w:tcBorders>
          </w:tcPr>
          <w:p w:rsidR="00485634" w:rsidRPr="00485634" w:rsidRDefault="00485634" w:rsidP="00485634">
            <w:pPr>
              <w:kinsoku w:val="0"/>
              <w:overflowPunct w:val="0"/>
              <w:autoSpaceDE w:val="0"/>
              <w:autoSpaceDN w:val="0"/>
              <w:adjustRightInd w:val="0"/>
              <w:spacing w:after="0" w:line="240" w:lineRule="auto"/>
              <w:jc w:val="center"/>
              <w:rPr>
                <w:rFonts w:ascii="Times New Roman" w:hAnsi="Times New Roman" w:cs="Times New Roman"/>
                <w:sz w:val="24"/>
                <w:szCs w:val="24"/>
              </w:rPr>
            </w:pPr>
          </w:p>
          <w:p w:rsidR="00485634" w:rsidRPr="00485634" w:rsidRDefault="00485634" w:rsidP="00485634">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485634">
              <w:rPr>
                <w:rFonts w:ascii="Times New Roman" w:hAnsi="Times New Roman" w:cs="Times New Roman"/>
                <w:sz w:val="24"/>
                <w:szCs w:val="24"/>
              </w:rPr>
              <w:t>-10 puan</w:t>
            </w:r>
          </w:p>
        </w:tc>
      </w:tr>
      <w:tr w:rsidR="00485634" w:rsidRPr="00EC3F84" w:rsidTr="00485634">
        <w:trPr>
          <w:trHeight w:val="1134"/>
        </w:trPr>
        <w:tc>
          <w:tcPr>
            <w:tcW w:w="5514" w:type="dxa"/>
            <w:tcBorders>
              <w:top w:val="single" w:sz="4" w:space="0" w:color="000000"/>
              <w:left w:val="single" w:sz="4" w:space="0" w:color="000000"/>
              <w:bottom w:val="single" w:sz="4" w:space="0" w:color="000000"/>
              <w:right w:val="single" w:sz="4" w:space="0" w:color="000000"/>
            </w:tcBorders>
          </w:tcPr>
          <w:p w:rsidR="00485634" w:rsidRPr="00485634" w:rsidRDefault="00485634" w:rsidP="00485634">
            <w:pPr>
              <w:kinsoku w:val="0"/>
              <w:overflowPunct w:val="0"/>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 </w:t>
            </w:r>
            <w:r w:rsidRPr="00485634">
              <w:rPr>
                <w:rFonts w:ascii="Times New Roman" w:hAnsi="Times New Roman" w:cs="Times New Roman"/>
                <w:i/>
                <w:iCs/>
                <w:sz w:val="24"/>
                <w:szCs w:val="24"/>
              </w:rPr>
              <w:t>Hareketliliğe seçilen öğrenciler için: SUBÜ tarafından hareketlilikle ilgili olarak düzenlenen toplantılara/eğitimlere mazeretsiz katılmama (öğrencinin Erasmus’a tekrar başvurması halinde uygulanır)</w:t>
            </w:r>
          </w:p>
        </w:tc>
        <w:tc>
          <w:tcPr>
            <w:tcW w:w="2141" w:type="dxa"/>
            <w:tcBorders>
              <w:top w:val="single" w:sz="4" w:space="0" w:color="000000"/>
              <w:left w:val="single" w:sz="4" w:space="0" w:color="000000"/>
              <w:bottom w:val="single" w:sz="4" w:space="0" w:color="000000"/>
              <w:right w:val="single" w:sz="4" w:space="0" w:color="000000"/>
            </w:tcBorders>
          </w:tcPr>
          <w:p w:rsidR="00485634" w:rsidRPr="00485634" w:rsidRDefault="00485634" w:rsidP="00485634">
            <w:pPr>
              <w:kinsoku w:val="0"/>
              <w:overflowPunct w:val="0"/>
              <w:autoSpaceDE w:val="0"/>
              <w:autoSpaceDN w:val="0"/>
              <w:adjustRightInd w:val="0"/>
              <w:spacing w:after="0" w:line="240" w:lineRule="auto"/>
              <w:jc w:val="center"/>
              <w:rPr>
                <w:rFonts w:ascii="Times New Roman" w:hAnsi="Times New Roman" w:cs="Times New Roman"/>
                <w:sz w:val="24"/>
                <w:szCs w:val="24"/>
              </w:rPr>
            </w:pPr>
          </w:p>
          <w:p w:rsidR="00485634" w:rsidRPr="00485634" w:rsidRDefault="00485634" w:rsidP="00485634">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485634">
              <w:rPr>
                <w:rFonts w:ascii="Times New Roman" w:hAnsi="Times New Roman" w:cs="Times New Roman"/>
                <w:sz w:val="24"/>
                <w:szCs w:val="24"/>
              </w:rPr>
              <w:t>-5 puan</w:t>
            </w:r>
          </w:p>
        </w:tc>
      </w:tr>
      <w:tr w:rsidR="00485634" w:rsidRPr="00EC3F84" w:rsidTr="00485634">
        <w:trPr>
          <w:trHeight w:val="70"/>
        </w:trPr>
        <w:tc>
          <w:tcPr>
            <w:tcW w:w="5514" w:type="dxa"/>
            <w:tcBorders>
              <w:top w:val="single" w:sz="4" w:space="0" w:color="000000"/>
              <w:left w:val="single" w:sz="4" w:space="0" w:color="000000"/>
              <w:bottom w:val="single" w:sz="4" w:space="0" w:color="000000"/>
              <w:right w:val="single" w:sz="4" w:space="0" w:color="000000"/>
            </w:tcBorders>
          </w:tcPr>
          <w:p w:rsidR="00485634" w:rsidRPr="00EC3F84" w:rsidRDefault="00485634" w:rsidP="00EF2DC9">
            <w:pPr>
              <w:kinsoku w:val="0"/>
              <w:overflowPunct w:val="0"/>
              <w:autoSpaceDE w:val="0"/>
              <w:autoSpaceDN w:val="0"/>
              <w:adjustRightInd w:val="0"/>
              <w:spacing w:after="0" w:line="240" w:lineRule="auto"/>
              <w:rPr>
                <w:rFonts w:ascii="Times New Roman" w:hAnsi="Times New Roman" w:cs="Times New Roman"/>
                <w:sz w:val="24"/>
                <w:szCs w:val="24"/>
              </w:rPr>
            </w:pPr>
          </w:p>
          <w:p w:rsidR="00485634" w:rsidRPr="00485634" w:rsidRDefault="00485634" w:rsidP="00485634">
            <w:pPr>
              <w:kinsoku w:val="0"/>
              <w:overflowPunct w:val="0"/>
              <w:autoSpaceDE w:val="0"/>
              <w:autoSpaceDN w:val="0"/>
              <w:adjustRightInd w:val="0"/>
              <w:spacing w:after="0" w:line="240" w:lineRule="auto"/>
              <w:ind w:left="108"/>
              <w:rPr>
                <w:rFonts w:ascii="Times New Roman" w:hAnsi="Times New Roman" w:cs="Times New Roman"/>
                <w:sz w:val="24"/>
                <w:szCs w:val="24"/>
              </w:rPr>
            </w:pPr>
            <w:r w:rsidRPr="00485634">
              <w:rPr>
                <w:rFonts w:ascii="Times New Roman" w:hAnsi="Times New Roman" w:cs="Times New Roman"/>
                <w:sz w:val="24"/>
                <w:szCs w:val="24"/>
              </w:rPr>
              <w:t xml:space="preserve">Dil sınavına gireceğini beyan edip mazeretsiz girmeme ( öğrencinin </w:t>
            </w:r>
            <w:r w:rsidRPr="00485634">
              <w:rPr>
                <w:rFonts w:ascii="Times New Roman" w:hAnsi="Times New Roman" w:cs="Times New Roman"/>
                <w:i/>
                <w:iCs/>
                <w:sz w:val="24"/>
                <w:szCs w:val="24"/>
              </w:rPr>
              <w:t>Erasmus’a</w:t>
            </w:r>
            <w:r w:rsidRPr="00485634">
              <w:rPr>
                <w:rFonts w:ascii="Times New Roman" w:hAnsi="Times New Roman" w:cs="Times New Roman"/>
                <w:sz w:val="24"/>
                <w:szCs w:val="24"/>
              </w:rPr>
              <w:t xml:space="preserve"> tekrar başvurması halinde uygulanır)</w:t>
            </w:r>
          </w:p>
        </w:tc>
        <w:tc>
          <w:tcPr>
            <w:tcW w:w="2141" w:type="dxa"/>
            <w:tcBorders>
              <w:top w:val="single" w:sz="4" w:space="0" w:color="000000"/>
              <w:left w:val="single" w:sz="4" w:space="0" w:color="000000"/>
              <w:bottom w:val="single" w:sz="4" w:space="0" w:color="000000"/>
              <w:right w:val="single" w:sz="4" w:space="0" w:color="000000"/>
            </w:tcBorders>
          </w:tcPr>
          <w:p w:rsidR="00485634" w:rsidRPr="00485634" w:rsidRDefault="00485634" w:rsidP="00EF2DC9">
            <w:pPr>
              <w:kinsoku w:val="0"/>
              <w:overflowPunct w:val="0"/>
              <w:autoSpaceDE w:val="0"/>
              <w:autoSpaceDN w:val="0"/>
              <w:adjustRightInd w:val="0"/>
              <w:spacing w:after="0" w:line="240" w:lineRule="auto"/>
              <w:rPr>
                <w:rFonts w:ascii="Times New Roman" w:hAnsi="Times New Roman" w:cs="Times New Roman"/>
                <w:sz w:val="24"/>
                <w:szCs w:val="24"/>
              </w:rPr>
            </w:pPr>
          </w:p>
          <w:p w:rsidR="00485634" w:rsidRPr="00485634" w:rsidRDefault="00485634" w:rsidP="00485634">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485634">
              <w:rPr>
                <w:rFonts w:ascii="Times New Roman" w:hAnsi="Times New Roman" w:cs="Times New Roman"/>
                <w:sz w:val="24"/>
                <w:szCs w:val="24"/>
              </w:rPr>
              <w:t>-5 puan</w:t>
            </w:r>
          </w:p>
        </w:tc>
      </w:tr>
    </w:tbl>
    <w:p w:rsidR="00485634" w:rsidRDefault="00485634" w:rsidP="00485634">
      <w:pPr>
        <w:rPr>
          <w:rFonts w:ascii="Times New Roman" w:eastAsia="Times New Roman" w:hAnsi="Times New Roman" w:cs="Times New Roman"/>
          <w:b/>
          <w:bCs/>
          <w:color w:val="373737"/>
          <w:sz w:val="20"/>
          <w:szCs w:val="20"/>
          <w:lang w:eastAsia="tr-TR"/>
        </w:rPr>
      </w:pPr>
    </w:p>
    <w:p w:rsidR="001F479F" w:rsidRDefault="001F479F" w:rsidP="00485634">
      <w:pPr>
        <w:rPr>
          <w:rFonts w:ascii="Times New Roman" w:eastAsia="Times New Roman" w:hAnsi="Times New Roman" w:cs="Times New Roman"/>
          <w:b/>
          <w:bCs/>
          <w:color w:val="373737"/>
          <w:sz w:val="20"/>
          <w:szCs w:val="20"/>
          <w:lang w:eastAsia="tr-TR"/>
        </w:rPr>
      </w:pPr>
    </w:p>
    <w:p w:rsidR="006959E6" w:rsidRDefault="006959E6" w:rsidP="00485634">
      <w:pPr>
        <w:rPr>
          <w:rFonts w:ascii="Times New Roman" w:eastAsia="Times New Roman" w:hAnsi="Times New Roman" w:cs="Times New Roman"/>
          <w:b/>
          <w:bCs/>
          <w:color w:val="373737"/>
          <w:sz w:val="20"/>
          <w:szCs w:val="20"/>
          <w:lang w:eastAsia="tr-TR"/>
        </w:rPr>
      </w:pPr>
    </w:p>
    <w:p w:rsidR="00485634" w:rsidRPr="00142C3E" w:rsidRDefault="00142C3E" w:rsidP="00485634">
      <w:pPr>
        <w:jc w:val="center"/>
        <w:rPr>
          <w:rFonts w:ascii="Times New Roman" w:eastAsia="Times New Roman" w:hAnsi="Times New Roman" w:cs="Times New Roman"/>
          <w:b/>
          <w:bCs/>
          <w:color w:val="373737"/>
          <w:sz w:val="24"/>
          <w:szCs w:val="24"/>
          <w:lang w:eastAsia="tr-TR"/>
        </w:rPr>
      </w:pPr>
      <w:r>
        <w:rPr>
          <w:rFonts w:ascii="Times New Roman" w:eastAsia="Times New Roman" w:hAnsi="Times New Roman" w:cs="Times New Roman"/>
          <w:b/>
          <w:bCs/>
          <w:color w:val="373737"/>
          <w:sz w:val="24"/>
          <w:szCs w:val="24"/>
          <w:lang w:eastAsia="tr-TR"/>
        </w:rPr>
        <w:t>HİBE HESAPLAMA</w:t>
      </w:r>
    </w:p>
    <w:p w:rsidR="00485634" w:rsidRPr="00EC3F84" w:rsidRDefault="00485634" w:rsidP="00485634">
      <w:pPr>
        <w:rPr>
          <w:rFonts w:ascii="Times New Roman" w:eastAsia="Times New Roman" w:hAnsi="Times New Roman" w:cs="Times New Roman"/>
          <w:bCs/>
          <w:color w:val="373737"/>
          <w:sz w:val="20"/>
          <w:szCs w:val="20"/>
          <w:lang w:eastAsia="tr-TR"/>
        </w:rPr>
      </w:pPr>
      <w:r w:rsidRPr="00EC3F84">
        <w:rPr>
          <w:rFonts w:ascii="Times New Roman" w:eastAsia="Times New Roman" w:hAnsi="Times New Roman" w:cs="Times New Roman"/>
          <w:bCs/>
          <w:color w:val="373737"/>
          <w:sz w:val="20"/>
          <w:szCs w:val="20"/>
          <w:lang w:eastAsia="tr-TR"/>
        </w:rPr>
        <w:t>İlk ödeme olarak, öngörülen toplam faaliyet süresine göre hesap edilen toplam hibenin % 80‘i ödenir.</w:t>
      </w:r>
    </w:p>
    <w:p w:rsidR="00485634" w:rsidRPr="00EC3F84" w:rsidRDefault="00485634" w:rsidP="00485634">
      <w:pPr>
        <w:rPr>
          <w:rFonts w:ascii="Times New Roman" w:eastAsia="Times New Roman" w:hAnsi="Times New Roman" w:cs="Times New Roman"/>
          <w:bCs/>
          <w:color w:val="373737"/>
          <w:sz w:val="20"/>
          <w:szCs w:val="20"/>
          <w:lang w:eastAsia="tr-TR"/>
        </w:rPr>
      </w:pPr>
      <w:r w:rsidRPr="00EC3F84">
        <w:rPr>
          <w:rFonts w:ascii="Times New Roman" w:eastAsia="Times New Roman" w:hAnsi="Times New Roman" w:cs="Times New Roman"/>
          <w:bCs/>
          <w:color w:val="373737"/>
          <w:sz w:val="20"/>
          <w:szCs w:val="20"/>
          <w:lang w:eastAsia="tr-TR"/>
        </w:rPr>
        <w:t>İkinci taksit, öğrenim dönemi sonunda, öğrenciye verilen katılım belgesi ve kesin gerçekleşen faaliyet süresi ve öğrencinin başarı ve sorumluluklarını yerine getirme düzeyi dikkate alınarak yapılır. Sorumluluklarını yerine getirmeyen ve/veya başarısız öğrencilerin hibelerinde kesinti yapılması söz konusudur.</w:t>
      </w:r>
    </w:p>
    <w:p w:rsidR="00485634" w:rsidRPr="00EC3F84" w:rsidRDefault="00485634" w:rsidP="00485634">
      <w:pPr>
        <w:rPr>
          <w:rFonts w:ascii="Times New Roman" w:eastAsia="Times New Roman" w:hAnsi="Times New Roman" w:cs="Times New Roman"/>
          <w:bCs/>
          <w:color w:val="373737"/>
          <w:sz w:val="20"/>
          <w:szCs w:val="20"/>
          <w:lang w:eastAsia="tr-TR"/>
        </w:rPr>
      </w:pPr>
      <w:r w:rsidRPr="00EC3F84">
        <w:rPr>
          <w:rFonts w:ascii="Times New Roman" w:eastAsia="Times New Roman" w:hAnsi="Times New Roman" w:cs="Times New Roman"/>
          <w:bCs/>
          <w:color w:val="373737"/>
          <w:sz w:val="20"/>
          <w:szCs w:val="20"/>
          <w:lang w:eastAsia="tr-TR"/>
        </w:rPr>
        <w:t>Faaliyet başlamadan önce yapılacak planlamada gidilecek kurumdaki akademik takvim, öğrencilerin davet mektuplarında yer alan süreler gibi bilgi ve belgelere göre süre ve hibe konusunda üst sınır belirlenir.</w:t>
      </w:r>
    </w:p>
    <w:p w:rsidR="00485634" w:rsidRDefault="00485634" w:rsidP="00485634">
      <w:pPr>
        <w:rPr>
          <w:rFonts w:ascii="Times New Roman" w:eastAsia="Times New Roman" w:hAnsi="Times New Roman" w:cs="Times New Roman"/>
          <w:bCs/>
          <w:color w:val="373737"/>
          <w:sz w:val="20"/>
          <w:szCs w:val="20"/>
          <w:lang w:eastAsia="tr-TR"/>
        </w:rPr>
      </w:pPr>
      <w:r w:rsidRPr="00EC3F84">
        <w:rPr>
          <w:rFonts w:ascii="Times New Roman" w:eastAsia="Times New Roman" w:hAnsi="Times New Roman" w:cs="Times New Roman"/>
          <w:bCs/>
          <w:color w:val="373737"/>
          <w:sz w:val="20"/>
          <w:szCs w:val="20"/>
          <w:lang w:eastAsia="tr-TR"/>
        </w:rPr>
        <w:t>Faaliyet tamamlandığında yurt dışında gerçekleşen fiili faaliyet süresine ve öğrencinin sorumluluklarını yerine getirme düzeyine bakılarak öğrencinin toplam nihai hibesi yeniden hesaplanır. Kesin faaliyet süresi, katılım sertifikasında bulunan faaliyet başlangıç-bitiş tarihleri ve pasaportta yer alan giriş-çıkış tarihlerine göre hesaplanır.</w:t>
      </w:r>
    </w:p>
    <w:p w:rsidR="00485634" w:rsidRPr="00142C3E" w:rsidRDefault="00485634" w:rsidP="00485634">
      <w:pPr>
        <w:jc w:val="center"/>
        <w:rPr>
          <w:rFonts w:ascii="Times New Roman" w:eastAsia="Times New Roman" w:hAnsi="Times New Roman" w:cs="Times New Roman"/>
          <w:b/>
          <w:bCs/>
          <w:color w:val="373737"/>
          <w:sz w:val="24"/>
          <w:szCs w:val="24"/>
          <w:lang w:eastAsia="tr-TR"/>
        </w:rPr>
      </w:pPr>
      <w:r w:rsidRPr="00142C3E">
        <w:rPr>
          <w:rFonts w:ascii="Times New Roman" w:eastAsia="Times New Roman" w:hAnsi="Times New Roman" w:cs="Times New Roman"/>
          <w:b/>
          <w:bCs/>
          <w:color w:val="373737"/>
          <w:sz w:val="24"/>
          <w:szCs w:val="24"/>
          <w:lang w:eastAsia="tr-TR"/>
        </w:rPr>
        <w:t>GİDİLEN ÜLKERE GÖRE AYLIK HİBE MİKTARLARI</w:t>
      </w:r>
    </w:p>
    <w:p w:rsidR="00485634" w:rsidRPr="00EC3F84" w:rsidRDefault="00485634" w:rsidP="00485634">
      <w:pPr>
        <w:rPr>
          <w:rFonts w:ascii="Times New Roman" w:eastAsia="Times New Roman" w:hAnsi="Times New Roman" w:cs="Times New Roman"/>
          <w:b/>
          <w:bCs/>
          <w:color w:val="373737"/>
          <w:sz w:val="20"/>
          <w:szCs w:val="20"/>
          <w:lang w:eastAsia="tr-TR"/>
        </w:rPr>
      </w:pPr>
      <w:r w:rsidRPr="00EC3F84">
        <w:rPr>
          <w:rFonts w:ascii="Times New Roman" w:hAnsi="Times New Roman" w:cs="Times New Roman"/>
          <w:sz w:val="20"/>
          <w:szCs w:val="20"/>
        </w:rPr>
        <w:t>Öğrencilere yurtdışında geçirdikleri faaliyet süreleri boyunca yurtdışında olmalarından kaynaklanan ilave masraflarına yardımcı olmak üzere hibe verilmektedir. Hibeler, öğrencilerin faaliyetle ilgili masraflarının tamamını karşılamaya yönelik değil, yalnızca</w:t>
      </w:r>
      <w:r w:rsidRPr="00EC3F84">
        <w:rPr>
          <w:rFonts w:ascii="Times New Roman" w:hAnsi="Times New Roman" w:cs="Times New Roman"/>
          <w:b/>
          <w:sz w:val="20"/>
          <w:szCs w:val="20"/>
        </w:rPr>
        <w:t xml:space="preserve"> katkı</w:t>
      </w:r>
      <w:r w:rsidRPr="00EC3F84">
        <w:rPr>
          <w:rFonts w:ascii="Times New Roman" w:hAnsi="Times New Roman" w:cs="Times New Roman"/>
          <w:sz w:val="20"/>
          <w:szCs w:val="20"/>
        </w:rPr>
        <w:t xml:space="preserve"> niteliğindedir.</w:t>
      </w:r>
    </w:p>
    <w:tbl>
      <w:tblPr>
        <w:tblW w:w="9049" w:type="dxa"/>
        <w:tblInd w:w="118" w:type="dxa"/>
        <w:tblLayout w:type="fixed"/>
        <w:tblCellMar>
          <w:left w:w="0" w:type="dxa"/>
          <w:right w:w="0" w:type="dxa"/>
        </w:tblCellMar>
        <w:tblLook w:val="0000" w:firstRow="0" w:lastRow="0" w:firstColumn="0" w:lastColumn="0" w:noHBand="0" w:noVBand="0"/>
      </w:tblPr>
      <w:tblGrid>
        <w:gridCol w:w="1961"/>
        <w:gridCol w:w="4140"/>
        <w:gridCol w:w="1419"/>
        <w:gridCol w:w="1529"/>
      </w:tblGrid>
      <w:tr w:rsidR="00485634" w:rsidRPr="00EC3F84" w:rsidTr="00485634">
        <w:trPr>
          <w:trHeight w:val="952"/>
        </w:trPr>
        <w:tc>
          <w:tcPr>
            <w:tcW w:w="1961" w:type="dxa"/>
            <w:tcBorders>
              <w:top w:val="single" w:sz="4" w:space="0" w:color="000000"/>
              <w:left w:val="single" w:sz="4" w:space="0" w:color="000000"/>
              <w:bottom w:val="single" w:sz="4" w:space="0" w:color="000000"/>
              <w:right w:val="single" w:sz="4" w:space="0" w:color="000000"/>
            </w:tcBorders>
          </w:tcPr>
          <w:p w:rsidR="00485634" w:rsidRPr="00EC3F84" w:rsidRDefault="00485634" w:rsidP="00EF2DC9">
            <w:pPr>
              <w:kinsoku w:val="0"/>
              <w:overflowPunct w:val="0"/>
              <w:autoSpaceDE w:val="0"/>
              <w:autoSpaceDN w:val="0"/>
              <w:adjustRightInd w:val="0"/>
              <w:spacing w:before="5" w:after="0" w:line="240" w:lineRule="auto"/>
              <w:rPr>
                <w:rFonts w:ascii="Times New Roman" w:hAnsi="Times New Roman" w:cs="Times New Roman"/>
                <w:sz w:val="27"/>
                <w:szCs w:val="27"/>
              </w:rPr>
            </w:pPr>
          </w:p>
          <w:p w:rsidR="00485634" w:rsidRPr="00EC3F84" w:rsidRDefault="00485634" w:rsidP="00EF2DC9">
            <w:pPr>
              <w:kinsoku w:val="0"/>
              <w:overflowPunct w:val="0"/>
              <w:autoSpaceDE w:val="0"/>
              <w:autoSpaceDN w:val="0"/>
              <w:adjustRightInd w:val="0"/>
              <w:spacing w:after="0" w:line="240" w:lineRule="auto"/>
              <w:ind w:left="249"/>
              <w:rPr>
                <w:rFonts w:ascii="Times New Roman" w:hAnsi="Times New Roman" w:cs="Times New Roman"/>
                <w:b/>
                <w:bCs/>
                <w:sz w:val="24"/>
                <w:szCs w:val="24"/>
              </w:rPr>
            </w:pPr>
            <w:r w:rsidRPr="00EC3F84">
              <w:rPr>
                <w:rFonts w:ascii="Times New Roman" w:hAnsi="Times New Roman" w:cs="Times New Roman"/>
                <w:b/>
                <w:bCs/>
                <w:sz w:val="24"/>
                <w:szCs w:val="24"/>
              </w:rPr>
              <w:t>Ülke Grupları</w:t>
            </w:r>
          </w:p>
        </w:tc>
        <w:tc>
          <w:tcPr>
            <w:tcW w:w="4140" w:type="dxa"/>
            <w:tcBorders>
              <w:top w:val="single" w:sz="4" w:space="0" w:color="000000"/>
              <w:left w:val="single" w:sz="4" w:space="0" w:color="000000"/>
              <w:bottom w:val="single" w:sz="4" w:space="0" w:color="000000"/>
              <w:right w:val="single" w:sz="4" w:space="0" w:color="000000"/>
            </w:tcBorders>
          </w:tcPr>
          <w:p w:rsidR="00485634" w:rsidRPr="00EC3F84" w:rsidRDefault="00485634" w:rsidP="00EF2DC9">
            <w:pPr>
              <w:kinsoku w:val="0"/>
              <w:overflowPunct w:val="0"/>
              <w:autoSpaceDE w:val="0"/>
              <w:autoSpaceDN w:val="0"/>
              <w:adjustRightInd w:val="0"/>
              <w:spacing w:before="5" w:after="0" w:line="240" w:lineRule="auto"/>
              <w:rPr>
                <w:rFonts w:ascii="Times New Roman" w:hAnsi="Times New Roman" w:cs="Times New Roman"/>
                <w:sz w:val="27"/>
                <w:szCs w:val="27"/>
              </w:rPr>
            </w:pPr>
          </w:p>
          <w:p w:rsidR="00485634" w:rsidRPr="00EC3F84" w:rsidRDefault="00485634" w:rsidP="00EF2DC9">
            <w:pPr>
              <w:kinsoku w:val="0"/>
              <w:overflowPunct w:val="0"/>
              <w:autoSpaceDE w:val="0"/>
              <w:autoSpaceDN w:val="0"/>
              <w:adjustRightInd w:val="0"/>
              <w:spacing w:after="0" w:line="240" w:lineRule="auto"/>
              <w:ind w:left="120"/>
              <w:rPr>
                <w:rFonts w:ascii="Times New Roman" w:hAnsi="Times New Roman" w:cs="Times New Roman"/>
                <w:b/>
                <w:bCs/>
                <w:sz w:val="24"/>
                <w:szCs w:val="24"/>
              </w:rPr>
            </w:pPr>
            <w:r w:rsidRPr="00EC3F84">
              <w:rPr>
                <w:rFonts w:ascii="Times New Roman" w:hAnsi="Times New Roman" w:cs="Times New Roman"/>
                <w:b/>
                <w:bCs/>
                <w:sz w:val="24"/>
                <w:szCs w:val="24"/>
              </w:rPr>
              <w:t>Hareketlilikte Misafir Olunan Ülkeler</w:t>
            </w:r>
          </w:p>
        </w:tc>
        <w:tc>
          <w:tcPr>
            <w:tcW w:w="1419" w:type="dxa"/>
            <w:tcBorders>
              <w:top w:val="single" w:sz="4" w:space="0" w:color="000000"/>
              <w:left w:val="single" w:sz="4" w:space="0" w:color="000000"/>
              <w:bottom w:val="single" w:sz="4" w:space="0" w:color="000000"/>
              <w:right w:val="single" w:sz="4" w:space="0" w:color="000000"/>
            </w:tcBorders>
          </w:tcPr>
          <w:p w:rsidR="00485634" w:rsidRPr="00EC3F84" w:rsidRDefault="00485634" w:rsidP="00EF2DC9">
            <w:pPr>
              <w:kinsoku w:val="0"/>
              <w:overflowPunct w:val="0"/>
              <w:autoSpaceDE w:val="0"/>
              <w:autoSpaceDN w:val="0"/>
              <w:adjustRightInd w:val="0"/>
              <w:spacing w:after="0" w:line="275" w:lineRule="exact"/>
              <w:ind w:left="250" w:hanging="101"/>
              <w:rPr>
                <w:rFonts w:ascii="Times New Roman" w:hAnsi="Times New Roman" w:cs="Times New Roman"/>
                <w:b/>
                <w:bCs/>
                <w:sz w:val="24"/>
                <w:szCs w:val="24"/>
              </w:rPr>
            </w:pPr>
            <w:r w:rsidRPr="00EC3F84">
              <w:rPr>
                <w:rFonts w:ascii="Times New Roman" w:hAnsi="Times New Roman" w:cs="Times New Roman"/>
                <w:b/>
                <w:bCs/>
                <w:sz w:val="24"/>
                <w:szCs w:val="24"/>
              </w:rPr>
              <w:t>Aylık Hibe</w:t>
            </w:r>
          </w:p>
          <w:p w:rsidR="00485634" w:rsidRPr="00EC3F84" w:rsidRDefault="00485634" w:rsidP="00EF2DC9">
            <w:pPr>
              <w:kinsoku w:val="0"/>
              <w:overflowPunct w:val="0"/>
              <w:autoSpaceDE w:val="0"/>
              <w:autoSpaceDN w:val="0"/>
              <w:adjustRightInd w:val="0"/>
              <w:spacing w:before="7" w:after="0" w:line="310" w:lineRule="atLeast"/>
              <w:ind w:left="250" w:right="237"/>
              <w:jc w:val="center"/>
              <w:rPr>
                <w:rFonts w:ascii="Times New Roman" w:hAnsi="Times New Roman" w:cs="Times New Roman"/>
                <w:b/>
                <w:bCs/>
                <w:sz w:val="24"/>
                <w:szCs w:val="24"/>
              </w:rPr>
            </w:pPr>
            <w:r w:rsidRPr="00EC3F84">
              <w:rPr>
                <w:rFonts w:ascii="Times New Roman" w:hAnsi="Times New Roman" w:cs="Times New Roman"/>
                <w:b/>
                <w:bCs/>
                <w:sz w:val="24"/>
                <w:szCs w:val="24"/>
              </w:rPr>
              <w:t>Öğrenim (Avro)</w:t>
            </w:r>
          </w:p>
        </w:tc>
        <w:tc>
          <w:tcPr>
            <w:tcW w:w="1529" w:type="dxa"/>
            <w:tcBorders>
              <w:top w:val="single" w:sz="4" w:space="0" w:color="000000"/>
              <w:left w:val="single" w:sz="4" w:space="0" w:color="000000"/>
              <w:bottom w:val="single" w:sz="4" w:space="0" w:color="000000"/>
              <w:right w:val="single" w:sz="4" w:space="0" w:color="000000"/>
            </w:tcBorders>
          </w:tcPr>
          <w:p w:rsidR="00485634" w:rsidRPr="00EC3F84" w:rsidRDefault="00485634" w:rsidP="00EF2DC9">
            <w:pPr>
              <w:kinsoku w:val="0"/>
              <w:overflowPunct w:val="0"/>
              <w:autoSpaceDE w:val="0"/>
              <w:autoSpaceDN w:val="0"/>
              <w:adjustRightInd w:val="0"/>
              <w:spacing w:after="0" w:line="275" w:lineRule="exact"/>
              <w:ind w:left="557" w:hanging="351"/>
              <w:rPr>
                <w:rFonts w:ascii="Times New Roman" w:hAnsi="Times New Roman" w:cs="Times New Roman"/>
                <w:b/>
                <w:bCs/>
                <w:sz w:val="24"/>
                <w:szCs w:val="24"/>
              </w:rPr>
            </w:pPr>
            <w:r w:rsidRPr="00EC3F84">
              <w:rPr>
                <w:rFonts w:ascii="Times New Roman" w:hAnsi="Times New Roman" w:cs="Times New Roman"/>
                <w:b/>
                <w:bCs/>
                <w:sz w:val="24"/>
                <w:szCs w:val="24"/>
              </w:rPr>
              <w:t>Aylık Hibe</w:t>
            </w:r>
          </w:p>
          <w:p w:rsidR="00485634" w:rsidRPr="00EC3F84" w:rsidRDefault="00485634" w:rsidP="00EF2DC9">
            <w:pPr>
              <w:kinsoku w:val="0"/>
              <w:overflowPunct w:val="0"/>
              <w:autoSpaceDE w:val="0"/>
              <w:autoSpaceDN w:val="0"/>
              <w:adjustRightInd w:val="0"/>
              <w:spacing w:before="7" w:after="0" w:line="310" w:lineRule="atLeast"/>
              <w:ind w:left="422" w:right="416" w:firstLine="5"/>
              <w:jc w:val="center"/>
              <w:rPr>
                <w:rFonts w:ascii="Times New Roman" w:hAnsi="Times New Roman" w:cs="Times New Roman"/>
                <w:b/>
                <w:bCs/>
                <w:sz w:val="24"/>
                <w:szCs w:val="24"/>
              </w:rPr>
            </w:pPr>
            <w:r w:rsidRPr="00EC3F84">
              <w:rPr>
                <w:rFonts w:ascii="Times New Roman" w:hAnsi="Times New Roman" w:cs="Times New Roman"/>
                <w:b/>
                <w:bCs/>
                <w:sz w:val="24"/>
                <w:szCs w:val="24"/>
              </w:rPr>
              <w:t>Staj (Avro)</w:t>
            </w:r>
          </w:p>
        </w:tc>
      </w:tr>
      <w:tr w:rsidR="00485634" w:rsidRPr="00EC3F84" w:rsidTr="00485634">
        <w:trPr>
          <w:trHeight w:val="1902"/>
        </w:trPr>
        <w:tc>
          <w:tcPr>
            <w:tcW w:w="1961" w:type="dxa"/>
            <w:tcBorders>
              <w:top w:val="single" w:sz="4" w:space="0" w:color="000000"/>
              <w:left w:val="single" w:sz="4" w:space="0" w:color="000000"/>
              <w:bottom w:val="single" w:sz="4" w:space="0" w:color="000000"/>
              <w:right w:val="single" w:sz="4" w:space="0" w:color="000000"/>
            </w:tcBorders>
          </w:tcPr>
          <w:p w:rsidR="00485634" w:rsidRPr="00EC3F84" w:rsidRDefault="00485634" w:rsidP="00EF2DC9">
            <w:pPr>
              <w:kinsoku w:val="0"/>
              <w:overflowPunct w:val="0"/>
              <w:autoSpaceDE w:val="0"/>
              <w:autoSpaceDN w:val="0"/>
              <w:adjustRightInd w:val="0"/>
              <w:spacing w:after="0" w:line="240" w:lineRule="auto"/>
              <w:rPr>
                <w:rFonts w:ascii="Times New Roman" w:hAnsi="Times New Roman" w:cs="Times New Roman"/>
                <w:sz w:val="26"/>
                <w:szCs w:val="26"/>
              </w:rPr>
            </w:pPr>
          </w:p>
          <w:p w:rsidR="00485634" w:rsidRPr="00EC3F84" w:rsidRDefault="00485634" w:rsidP="00EF2DC9">
            <w:pPr>
              <w:kinsoku w:val="0"/>
              <w:overflowPunct w:val="0"/>
              <w:autoSpaceDE w:val="0"/>
              <w:autoSpaceDN w:val="0"/>
              <w:adjustRightInd w:val="0"/>
              <w:spacing w:after="0" w:line="276" w:lineRule="auto"/>
              <w:ind w:left="107" w:right="151"/>
              <w:rPr>
                <w:rFonts w:ascii="Times New Roman" w:hAnsi="Times New Roman" w:cs="Times New Roman"/>
                <w:sz w:val="24"/>
                <w:szCs w:val="24"/>
              </w:rPr>
            </w:pPr>
            <w:r w:rsidRPr="00EC3F84">
              <w:rPr>
                <w:rFonts w:ascii="Times New Roman" w:hAnsi="Times New Roman" w:cs="Times New Roman"/>
                <w:sz w:val="24"/>
                <w:szCs w:val="24"/>
              </w:rPr>
              <w:t>1. ve 2. Grup Program Ülkeleri</w:t>
            </w:r>
          </w:p>
        </w:tc>
        <w:tc>
          <w:tcPr>
            <w:tcW w:w="4140" w:type="dxa"/>
            <w:tcBorders>
              <w:top w:val="single" w:sz="4" w:space="0" w:color="000000"/>
              <w:left w:val="single" w:sz="4" w:space="0" w:color="000000"/>
              <w:bottom w:val="single" w:sz="4" w:space="0" w:color="000000"/>
              <w:right w:val="single" w:sz="4" w:space="0" w:color="000000"/>
            </w:tcBorders>
          </w:tcPr>
          <w:p w:rsidR="00485634" w:rsidRPr="00EC3F84" w:rsidRDefault="00485634" w:rsidP="00EF2DC9">
            <w:pPr>
              <w:kinsoku w:val="0"/>
              <w:overflowPunct w:val="0"/>
              <w:autoSpaceDE w:val="0"/>
              <w:autoSpaceDN w:val="0"/>
              <w:adjustRightInd w:val="0"/>
              <w:spacing w:after="0" w:line="276" w:lineRule="auto"/>
              <w:ind w:left="108" w:right="109"/>
              <w:rPr>
                <w:rFonts w:ascii="Times New Roman" w:hAnsi="Times New Roman" w:cs="Times New Roman"/>
                <w:sz w:val="24"/>
                <w:szCs w:val="24"/>
              </w:rPr>
            </w:pPr>
            <w:r w:rsidRPr="00EC3F84">
              <w:rPr>
                <w:rFonts w:ascii="Times New Roman" w:hAnsi="Times New Roman" w:cs="Times New Roman"/>
                <w:sz w:val="24"/>
                <w:szCs w:val="24"/>
              </w:rPr>
              <w:t>Birleşik Krallık, Danimarka, Finlandiya, İrlanda, İsveç, İzlanda, Lihtenştayn, Lüksemburg, Norveç, Almanya, Avusturya, Belçika, Fransa, Güney Kıbrıs, Hollanda, İspanya, İtalya, Malta,</w:t>
            </w:r>
          </w:p>
          <w:p w:rsidR="00485634" w:rsidRPr="00EC3F84" w:rsidRDefault="00485634" w:rsidP="00EF2DC9">
            <w:pPr>
              <w:kinsoku w:val="0"/>
              <w:overflowPunct w:val="0"/>
              <w:autoSpaceDE w:val="0"/>
              <w:autoSpaceDN w:val="0"/>
              <w:adjustRightInd w:val="0"/>
              <w:spacing w:after="0" w:line="276" w:lineRule="exact"/>
              <w:ind w:left="108"/>
              <w:rPr>
                <w:rFonts w:ascii="Times New Roman" w:hAnsi="Times New Roman" w:cs="Times New Roman"/>
                <w:sz w:val="24"/>
                <w:szCs w:val="24"/>
              </w:rPr>
            </w:pPr>
            <w:r w:rsidRPr="00EC3F84">
              <w:rPr>
                <w:rFonts w:ascii="Times New Roman" w:hAnsi="Times New Roman" w:cs="Times New Roman"/>
                <w:sz w:val="24"/>
                <w:szCs w:val="24"/>
              </w:rPr>
              <w:t>Portekiz, Yunanistan,</w:t>
            </w:r>
          </w:p>
        </w:tc>
        <w:tc>
          <w:tcPr>
            <w:tcW w:w="1419" w:type="dxa"/>
            <w:tcBorders>
              <w:top w:val="single" w:sz="4" w:space="0" w:color="000000"/>
              <w:left w:val="single" w:sz="4" w:space="0" w:color="000000"/>
              <w:bottom w:val="single" w:sz="4" w:space="0" w:color="000000"/>
              <w:right w:val="single" w:sz="4" w:space="0" w:color="000000"/>
            </w:tcBorders>
          </w:tcPr>
          <w:p w:rsidR="00485634" w:rsidRPr="00EC3F84" w:rsidRDefault="00485634" w:rsidP="00EF2DC9">
            <w:pPr>
              <w:kinsoku w:val="0"/>
              <w:overflowPunct w:val="0"/>
              <w:autoSpaceDE w:val="0"/>
              <w:autoSpaceDN w:val="0"/>
              <w:adjustRightInd w:val="0"/>
              <w:spacing w:after="0" w:line="240" w:lineRule="auto"/>
              <w:rPr>
                <w:rFonts w:ascii="Times New Roman" w:hAnsi="Times New Roman" w:cs="Times New Roman"/>
                <w:sz w:val="26"/>
                <w:szCs w:val="26"/>
              </w:rPr>
            </w:pPr>
          </w:p>
          <w:p w:rsidR="00485634" w:rsidRPr="00EC3F84" w:rsidRDefault="00485634" w:rsidP="00EF2DC9">
            <w:pPr>
              <w:kinsoku w:val="0"/>
              <w:overflowPunct w:val="0"/>
              <w:autoSpaceDE w:val="0"/>
              <w:autoSpaceDN w:val="0"/>
              <w:adjustRightInd w:val="0"/>
              <w:spacing w:before="188" w:after="0" w:line="240" w:lineRule="auto"/>
              <w:ind w:left="245" w:right="237"/>
              <w:jc w:val="center"/>
              <w:rPr>
                <w:rFonts w:ascii="Times New Roman" w:hAnsi="Times New Roman" w:cs="Times New Roman"/>
                <w:sz w:val="24"/>
                <w:szCs w:val="24"/>
              </w:rPr>
            </w:pPr>
            <w:r w:rsidRPr="00EC3F84">
              <w:rPr>
                <w:rFonts w:ascii="Times New Roman" w:hAnsi="Times New Roman" w:cs="Times New Roman"/>
                <w:sz w:val="24"/>
                <w:szCs w:val="24"/>
              </w:rPr>
              <w:t>500</w:t>
            </w:r>
          </w:p>
        </w:tc>
        <w:tc>
          <w:tcPr>
            <w:tcW w:w="1529" w:type="dxa"/>
            <w:tcBorders>
              <w:top w:val="single" w:sz="4" w:space="0" w:color="000000"/>
              <w:left w:val="single" w:sz="4" w:space="0" w:color="000000"/>
              <w:bottom w:val="single" w:sz="4" w:space="0" w:color="000000"/>
              <w:right w:val="single" w:sz="4" w:space="0" w:color="000000"/>
            </w:tcBorders>
          </w:tcPr>
          <w:p w:rsidR="00485634" w:rsidRPr="00EC3F84" w:rsidRDefault="00485634" w:rsidP="00EF2DC9">
            <w:pPr>
              <w:kinsoku w:val="0"/>
              <w:overflowPunct w:val="0"/>
              <w:autoSpaceDE w:val="0"/>
              <w:autoSpaceDN w:val="0"/>
              <w:adjustRightInd w:val="0"/>
              <w:spacing w:after="0" w:line="240" w:lineRule="auto"/>
              <w:rPr>
                <w:rFonts w:ascii="Times New Roman" w:hAnsi="Times New Roman" w:cs="Times New Roman"/>
                <w:sz w:val="26"/>
                <w:szCs w:val="26"/>
              </w:rPr>
            </w:pPr>
          </w:p>
          <w:p w:rsidR="00485634" w:rsidRPr="00EC3F84" w:rsidRDefault="00485634" w:rsidP="00EF2DC9">
            <w:pPr>
              <w:kinsoku w:val="0"/>
              <w:overflowPunct w:val="0"/>
              <w:autoSpaceDE w:val="0"/>
              <w:autoSpaceDN w:val="0"/>
              <w:adjustRightInd w:val="0"/>
              <w:spacing w:before="188" w:after="0" w:line="240" w:lineRule="auto"/>
              <w:ind w:right="573"/>
              <w:jc w:val="right"/>
              <w:rPr>
                <w:rFonts w:ascii="Times New Roman" w:hAnsi="Times New Roman" w:cs="Times New Roman"/>
                <w:sz w:val="24"/>
                <w:szCs w:val="24"/>
              </w:rPr>
            </w:pPr>
            <w:r w:rsidRPr="00EC3F84">
              <w:rPr>
                <w:rFonts w:ascii="Times New Roman" w:hAnsi="Times New Roman" w:cs="Times New Roman"/>
                <w:sz w:val="24"/>
                <w:szCs w:val="24"/>
              </w:rPr>
              <w:t>600</w:t>
            </w:r>
          </w:p>
        </w:tc>
      </w:tr>
      <w:tr w:rsidR="00485634" w:rsidRPr="00EC3F84" w:rsidTr="00485634">
        <w:trPr>
          <w:trHeight w:val="1588"/>
        </w:trPr>
        <w:tc>
          <w:tcPr>
            <w:tcW w:w="1961" w:type="dxa"/>
            <w:tcBorders>
              <w:top w:val="single" w:sz="4" w:space="0" w:color="000000"/>
              <w:left w:val="single" w:sz="4" w:space="0" w:color="000000"/>
              <w:bottom w:val="single" w:sz="4" w:space="0" w:color="000000"/>
              <w:right w:val="single" w:sz="4" w:space="0" w:color="000000"/>
            </w:tcBorders>
          </w:tcPr>
          <w:p w:rsidR="00485634" w:rsidRPr="00EC3F84" w:rsidRDefault="00485634" w:rsidP="00EF2DC9">
            <w:pPr>
              <w:kinsoku w:val="0"/>
              <w:overflowPunct w:val="0"/>
              <w:autoSpaceDE w:val="0"/>
              <w:autoSpaceDN w:val="0"/>
              <w:adjustRightInd w:val="0"/>
              <w:spacing w:after="0" w:line="240" w:lineRule="auto"/>
              <w:rPr>
                <w:rFonts w:ascii="Times New Roman" w:hAnsi="Times New Roman" w:cs="Times New Roman"/>
                <w:sz w:val="26"/>
                <w:szCs w:val="26"/>
              </w:rPr>
            </w:pPr>
          </w:p>
          <w:p w:rsidR="00485634" w:rsidRPr="00EC3F84" w:rsidRDefault="00485634" w:rsidP="00EF2DC9">
            <w:pPr>
              <w:kinsoku w:val="0"/>
              <w:overflowPunct w:val="0"/>
              <w:autoSpaceDE w:val="0"/>
              <w:autoSpaceDN w:val="0"/>
              <w:adjustRightInd w:val="0"/>
              <w:spacing w:before="172" w:after="0" w:line="276" w:lineRule="auto"/>
              <w:ind w:left="107" w:right="204"/>
              <w:rPr>
                <w:rFonts w:ascii="Times New Roman" w:hAnsi="Times New Roman" w:cs="Times New Roman"/>
                <w:sz w:val="24"/>
                <w:szCs w:val="24"/>
              </w:rPr>
            </w:pPr>
            <w:r w:rsidRPr="00EC3F84">
              <w:rPr>
                <w:rFonts w:ascii="Times New Roman" w:hAnsi="Times New Roman" w:cs="Times New Roman"/>
                <w:sz w:val="24"/>
                <w:szCs w:val="24"/>
              </w:rPr>
              <w:t>3. Grup Program Ülkeleri</w:t>
            </w:r>
          </w:p>
        </w:tc>
        <w:tc>
          <w:tcPr>
            <w:tcW w:w="4140" w:type="dxa"/>
            <w:tcBorders>
              <w:top w:val="single" w:sz="4" w:space="0" w:color="000000"/>
              <w:left w:val="single" w:sz="4" w:space="0" w:color="000000"/>
              <w:bottom w:val="single" w:sz="4" w:space="0" w:color="000000"/>
              <w:right w:val="single" w:sz="4" w:space="0" w:color="000000"/>
            </w:tcBorders>
          </w:tcPr>
          <w:p w:rsidR="00485634" w:rsidRPr="00EC3F84" w:rsidRDefault="00485634" w:rsidP="00EF2DC9">
            <w:pPr>
              <w:kinsoku w:val="0"/>
              <w:overflowPunct w:val="0"/>
              <w:autoSpaceDE w:val="0"/>
              <w:autoSpaceDN w:val="0"/>
              <w:adjustRightInd w:val="0"/>
              <w:spacing w:after="0" w:line="276" w:lineRule="auto"/>
              <w:ind w:left="108"/>
              <w:rPr>
                <w:rFonts w:ascii="Times New Roman" w:hAnsi="Times New Roman" w:cs="Times New Roman"/>
                <w:sz w:val="24"/>
                <w:szCs w:val="24"/>
              </w:rPr>
            </w:pPr>
            <w:r w:rsidRPr="00EC3F84">
              <w:rPr>
                <w:rFonts w:ascii="Times New Roman" w:hAnsi="Times New Roman" w:cs="Times New Roman"/>
                <w:sz w:val="24"/>
                <w:szCs w:val="24"/>
              </w:rPr>
              <w:t>Bulgaristan, Çek Cumhuriyeti, Estonya, Hırvatistan, Letonya, Litvanya, Macarista</w:t>
            </w:r>
            <w:r w:rsidR="00437E09">
              <w:rPr>
                <w:rFonts w:ascii="Times New Roman" w:hAnsi="Times New Roman" w:cs="Times New Roman"/>
                <w:sz w:val="24"/>
                <w:szCs w:val="24"/>
              </w:rPr>
              <w:t xml:space="preserve">n, Makedonya, Polonya, Romanya, Sırbistan, </w:t>
            </w:r>
            <w:r w:rsidRPr="00EC3F84">
              <w:rPr>
                <w:rFonts w:ascii="Times New Roman" w:hAnsi="Times New Roman" w:cs="Times New Roman"/>
                <w:sz w:val="24"/>
                <w:szCs w:val="24"/>
              </w:rPr>
              <w:t>Slovakya,</w:t>
            </w:r>
          </w:p>
          <w:p w:rsidR="00485634" w:rsidRPr="00EC3F84" w:rsidRDefault="00485634" w:rsidP="00EF2DC9">
            <w:pPr>
              <w:kinsoku w:val="0"/>
              <w:overflowPunct w:val="0"/>
              <w:autoSpaceDE w:val="0"/>
              <w:autoSpaceDN w:val="0"/>
              <w:adjustRightInd w:val="0"/>
              <w:spacing w:after="0" w:line="240" w:lineRule="auto"/>
              <w:ind w:left="108"/>
              <w:rPr>
                <w:rFonts w:ascii="Times New Roman" w:hAnsi="Times New Roman" w:cs="Times New Roman"/>
                <w:sz w:val="24"/>
                <w:szCs w:val="24"/>
              </w:rPr>
            </w:pPr>
            <w:r w:rsidRPr="00EC3F84">
              <w:rPr>
                <w:rFonts w:ascii="Times New Roman" w:hAnsi="Times New Roman" w:cs="Times New Roman"/>
                <w:sz w:val="24"/>
                <w:szCs w:val="24"/>
              </w:rPr>
              <w:t>Slovenya, Türkiye</w:t>
            </w:r>
          </w:p>
        </w:tc>
        <w:tc>
          <w:tcPr>
            <w:tcW w:w="1419" w:type="dxa"/>
            <w:tcBorders>
              <w:top w:val="single" w:sz="4" w:space="0" w:color="000000"/>
              <w:left w:val="single" w:sz="4" w:space="0" w:color="000000"/>
              <w:bottom w:val="single" w:sz="4" w:space="0" w:color="000000"/>
              <w:right w:val="single" w:sz="4" w:space="0" w:color="000000"/>
            </w:tcBorders>
          </w:tcPr>
          <w:p w:rsidR="00485634" w:rsidRPr="00EC3F84" w:rsidRDefault="00485634" w:rsidP="00EF2DC9">
            <w:pPr>
              <w:kinsoku w:val="0"/>
              <w:overflowPunct w:val="0"/>
              <w:autoSpaceDE w:val="0"/>
              <w:autoSpaceDN w:val="0"/>
              <w:adjustRightInd w:val="0"/>
              <w:spacing w:after="0" w:line="240" w:lineRule="auto"/>
              <w:rPr>
                <w:rFonts w:ascii="Times New Roman" w:hAnsi="Times New Roman" w:cs="Times New Roman"/>
                <w:sz w:val="26"/>
                <w:szCs w:val="26"/>
              </w:rPr>
            </w:pPr>
          </w:p>
          <w:p w:rsidR="00485634" w:rsidRPr="00EC3F84" w:rsidRDefault="00485634" w:rsidP="00EF2DC9">
            <w:pPr>
              <w:kinsoku w:val="0"/>
              <w:overflowPunct w:val="0"/>
              <w:autoSpaceDE w:val="0"/>
              <w:autoSpaceDN w:val="0"/>
              <w:adjustRightInd w:val="0"/>
              <w:spacing w:after="0" w:line="240" w:lineRule="auto"/>
              <w:ind w:left="245" w:right="237"/>
              <w:jc w:val="center"/>
              <w:rPr>
                <w:rFonts w:ascii="Times New Roman" w:hAnsi="Times New Roman" w:cs="Times New Roman"/>
                <w:sz w:val="24"/>
                <w:szCs w:val="24"/>
              </w:rPr>
            </w:pPr>
            <w:r w:rsidRPr="00EC3F84">
              <w:rPr>
                <w:rFonts w:ascii="Times New Roman" w:hAnsi="Times New Roman" w:cs="Times New Roman"/>
                <w:sz w:val="24"/>
                <w:szCs w:val="24"/>
              </w:rPr>
              <w:t>300</w:t>
            </w:r>
          </w:p>
        </w:tc>
        <w:tc>
          <w:tcPr>
            <w:tcW w:w="1529" w:type="dxa"/>
            <w:tcBorders>
              <w:top w:val="single" w:sz="4" w:space="0" w:color="000000"/>
              <w:left w:val="single" w:sz="4" w:space="0" w:color="000000"/>
              <w:bottom w:val="single" w:sz="4" w:space="0" w:color="000000"/>
              <w:right w:val="single" w:sz="4" w:space="0" w:color="000000"/>
            </w:tcBorders>
          </w:tcPr>
          <w:p w:rsidR="00485634" w:rsidRPr="00EC3F84" w:rsidRDefault="00485634" w:rsidP="00EF2DC9">
            <w:pPr>
              <w:kinsoku w:val="0"/>
              <w:overflowPunct w:val="0"/>
              <w:autoSpaceDE w:val="0"/>
              <w:autoSpaceDN w:val="0"/>
              <w:adjustRightInd w:val="0"/>
              <w:spacing w:after="0" w:line="240" w:lineRule="auto"/>
              <w:rPr>
                <w:rFonts w:ascii="Times New Roman" w:hAnsi="Times New Roman" w:cs="Times New Roman"/>
                <w:sz w:val="26"/>
                <w:szCs w:val="26"/>
              </w:rPr>
            </w:pPr>
          </w:p>
          <w:p w:rsidR="00485634" w:rsidRPr="00EC3F84" w:rsidRDefault="00485634" w:rsidP="00EF2DC9">
            <w:pPr>
              <w:kinsoku w:val="0"/>
              <w:overflowPunct w:val="0"/>
              <w:autoSpaceDE w:val="0"/>
              <w:autoSpaceDN w:val="0"/>
              <w:adjustRightInd w:val="0"/>
              <w:spacing w:after="0" w:line="240" w:lineRule="auto"/>
              <w:ind w:right="573"/>
              <w:jc w:val="right"/>
              <w:rPr>
                <w:rFonts w:ascii="Times New Roman" w:hAnsi="Times New Roman" w:cs="Times New Roman"/>
                <w:sz w:val="24"/>
                <w:szCs w:val="24"/>
              </w:rPr>
            </w:pPr>
            <w:r w:rsidRPr="00EC3F84">
              <w:rPr>
                <w:rFonts w:ascii="Times New Roman" w:hAnsi="Times New Roman" w:cs="Times New Roman"/>
                <w:sz w:val="24"/>
                <w:szCs w:val="24"/>
              </w:rPr>
              <w:t>400</w:t>
            </w:r>
          </w:p>
        </w:tc>
      </w:tr>
    </w:tbl>
    <w:p w:rsidR="00485634" w:rsidRPr="00142C3E" w:rsidRDefault="00485634" w:rsidP="00485634">
      <w:pPr>
        <w:kinsoku w:val="0"/>
        <w:overflowPunct w:val="0"/>
        <w:autoSpaceDE w:val="0"/>
        <w:autoSpaceDN w:val="0"/>
        <w:adjustRightInd w:val="0"/>
        <w:spacing w:before="201" w:after="0" w:line="240" w:lineRule="auto"/>
        <w:rPr>
          <w:rFonts w:ascii="Times New Roman" w:eastAsia="Times New Roman" w:hAnsi="Times New Roman" w:cs="Times New Roman"/>
          <w:bCs/>
          <w:color w:val="373737"/>
          <w:sz w:val="20"/>
          <w:szCs w:val="20"/>
          <w:lang w:eastAsia="tr-TR"/>
        </w:rPr>
      </w:pPr>
      <w:r>
        <w:rPr>
          <w:rFonts w:ascii="Times New Roman" w:eastAsia="Times New Roman" w:hAnsi="Times New Roman" w:cs="Times New Roman"/>
          <w:bCs/>
          <w:color w:val="373737"/>
          <w:sz w:val="20"/>
          <w:szCs w:val="20"/>
          <w:lang w:eastAsia="tr-TR"/>
        </w:rPr>
        <w:t xml:space="preserve">  </w:t>
      </w:r>
      <w:r w:rsidRPr="00EC3F84">
        <w:rPr>
          <w:rFonts w:ascii="Times New Roman" w:hAnsi="Times New Roman" w:cs="Times New Roman"/>
          <w:sz w:val="24"/>
          <w:szCs w:val="24"/>
        </w:rPr>
        <w:t>Tablo-2 Ülke gruplarına göre aylık hibe miktarları tablosu</w:t>
      </w:r>
    </w:p>
    <w:p w:rsidR="00485634" w:rsidRPr="00EC3F84" w:rsidRDefault="00485634" w:rsidP="00485634">
      <w:pPr>
        <w:kinsoku w:val="0"/>
        <w:overflowPunct w:val="0"/>
        <w:autoSpaceDE w:val="0"/>
        <w:autoSpaceDN w:val="0"/>
        <w:adjustRightInd w:val="0"/>
        <w:spacing w:before="161" w:after="0" w:line="276" w:lineRule="auto"/>
        <w:ind w:left="122" w:right="294"/>
        <w:jc w:val="both"/>
        <w:rPr>
          <w:rFonts w:ascii="Times New Roman" w:hAnsi="Times New Roman" w:cs="Times New Roman"/>
          <w:sz w:val="24"/>
          <w:szCs w:val="24"/>
        </w:rPr>
      </w:pPr>
      <w:r w:rsidRPr="00EC3F84">
        <w:rPr>
          <w:rFonts w:ascii="Times New Roman" w:hAnsi="Times New Roman" w:cs="Times New Roman"/>
          <w:sz w:val="23"/>
          <w:szCs w:val="23"/>
        </w:rPr>
        <w:t>Program ülkeleri arasında öğrenim ve staj hareketliliği için öğrencilere gidiş-dönüş seyahatleri için ayrıca destek verilmemektedir.</w:t>
      </w:r>
    </w:p>
    <w:p w:rsidR="00142C3E" w:rsidRDefault="00142C3E" w:rsidP="00485634">
      <w:pPr>
        <w:jc w:val="center"/>
        <w:rPr>
          <w:rFonts w:ascii="Times New Roman" w:eastAsia="Times New Roman" w:hAnsi="Times New Roman" w:cs="Times New Roman"/>
          <w:b/>
          <w:bCs/>
          <w:color w:val="373737"/>
          <w:sz w:val="20"/>
          <w:szCs w:val="20"/>
          <w:lang w:eastAsia="tr-TR"/>
        </w:rPr>
      </w:pPr>
    </w:p>
    <w:p w:rsidR="00437E09" w:rsidRDefault="00437E09" w:rsidP="00485634">
      <w:pPr>
        <w:jc w:val="center"/>
        <w:rPr>
          <w:rFonts w:ascii="Times New Roman" w:eastAsia="Times New Roman" w:hAnsi="Times New Roman" w:cs="Times New Roman"/>
          <w:b/>
          <w:bCs/>
          <w:color w:val="373737"/>
          <w:sz w:val="20"/>
          <w:szCs w:val="20"/>
          <w:lang w:eastAsia="tr-TR"/>
        </w:rPr>
      </w:pPr>
    </w:p>
    <w:p w:rsidR="00437E09" w:rsidRDefault="00437E09" w:rsidP="00485634">
      <w:pPr>
        <w:jc w:val="center"/>
        <w:rPr>
          <w:rFonts w:ascii="Times New Roman" w:eastAsia="Times New Roman" w:hAnsi="Times New Roman" w:cs="Times New Roman"/>
          <w:b/>
          <w:bCs/>
          <w:color w:val="373737"/>
          <w:sz w:val="20"/>
          <w:szCs w:val="20"/>
          <w:lang w:eastAsia="tr-TR"/>
        </w:rPr>
      </w:pPr>
    </w:p>
    <w:p w:rsidR="00437E09" w:rsidRDefault="00437E09" w:rsidP="00485634">
      <w:pPr>
        <w:jc w:val="center"/>
        <w:rPr>
          <w:rFonts w:ascii="Times New Roman" w:eastAsia="Times New Roman" w:hAnsi="Times New Roman" w:cs="Times New Roman"/>
          <w:b/>
          <w:bCs/>
          <w:color w:val="373737"/>
          <w:sz w:val="20"/>
          <w:szCs w:val="20"/>
          <w:lang w:eastAsia="tr-TR"/>
        </w:rPr>
      </w:pPr>
    </w:p>
    <w:p w:rsidR="001F479F" w:rsidRDefault="001F479F" w:rsidP="00485634">
      <w:pPr>
        <w:jc w:val="center"/>
        <w:rPr>
          <w:rFonts w:ascii="Times New Roman" w:eastAsia="Times New Roman" w:hAnsi="Times New Roman" w:cs="Times New Roman"/>
          <w:b/>
          <w:bCs/>
          <w:color w:val="373737"/>
          <w:sz w:val="20"/>
          <w:szCs w:val="20"/>
          <w:lang w:eastAsia="tr-TR"/>
        </w:rPr>
      </w:pPr>
    </w:p>
    <w:p w:rsidR="001F479F" w:rsidRDefault="001F479F" w:rsidP="00485634">
      <w:pPr>
        <w:jc w:val="center"/>
        <w:rPr>
          <w:rFonts w:ascii="Times New Roman" w:eastAsia="Times New Roman" w:hAnsi="Times New Roman" w:cs="Times New Roman"/>
          <w:b/>
          <w:bCs/>
          <w:color w:val="373737"/>
          <w:sz w:val="20"/>
          <w:szCs w:val="20"/>
          <w:lang w:eastAsia="tr-TR"/>
        </w:rPr>
      </w:pPr>
    </w:p>
    <w:p w:rsidR="006959E6" w:rsidRDefault="006959E6" w:rsidP="00485634">
      <w:pPr>
        <w:jc w:val="center"/>
        <w:rPr>
          <w:rFonts w:ascii="Times New Roman" w:eastAsia="Times New Roman" w:hAnsi="Times New Roman" w:cs="Times New Roman"/>
          <w:b/>
          <w:bCs/>
          <w:color w:val="373737"/>
          <w:sz w:val="20"/>
          <w:szCs w:val="20"/>
          <w:lang w:eastAsia="tr-TR"/>
        </w:rPr>
      </w:pPr>
    </w:p>
    <w:p w:rsidR="001F479F" w:rsidRDefault="001F479F" w:rsidP="00485634">
      <w:pPr>
        <w:jc w:val="center"/>
        <w:rPr>
          <w:rFonts w:ascii="Times New Roman" w:eastAsia="Times New Roman" w:hAnsi="Times New Roman" w:cs="Times New Roman"/>
          <w:b/>
          <w:bCs/>
          <w:color w:val="373737"/>
          <w:sz w:val="20"/>
          <w:szCs w:val="20"/>
          <w:lang w:eastAsia="tr-TR"/>
        </w:rPr>
      </w:pPr>
    </w:p>
    <w:p w:rsidR="00485634" w:rsidRPr="00142C3E" w:rsidRDefault="00485634" w:rsidP="00485634">
      <w:pPr>
        <w:jc w:val="center"/>
        <w:rPr>
          <w:rFonts w:ascii="Times New Roman" w:eastAsia="Times New Roman" w:hAnsi="Times New Roman" w:cs="Times New Roman"/>
          <w:b/>
          <w:bCs/>
          <w:color w:val="373737"/>
          <w:sz w:val="24"/>
          <w:szCs w:val="24"/>
          <w:lang w:eastAsia="tr-TR"/>
        </w:rPr>
      </w:pPr>
      <w:r w:rsidRPr="00142C3E">
        <w:rPr>
          <w:rFonts w:ascii="Times New Roman" w:eastAsia="Times New Roman" w:hAnsi="Times New Roman" w:cs="Times New Roman"/>
          <w:b/>
          <w:bCs/>
          <w:color w:val="373737"/>
          <w:sz w:val="24"/>
          <w:szCs w:val="24"/>
          <w:lang w:eastAsia="tr-TR"/>
        </w:rPr>
        <w:t>HİBESİZ YARARLANMA</w:t>
      </w:r>
    </w:p>
    <w:p w:rsidR="00485634" w:rsidRPr="00EC3F84" w:rsidRDefault="00485634" w:rsidP="00485634">
      <w:pPr>
        <w:rPr>
          <w:rFonts w:ascii="Times New Roman" w:eastAsia="Times New Roman" w:hAnsi="Times New Roman" w:cs="Times New Roman"/>
          <w:bCs/>
          <w:color w:val="373737"/>
          <w:sz w:val="20"/>
          <w:szCs w:val="20"/>
          <w:lang w:eastAsia="tr-TR"/>
        </w:rPr>
      </w:pPr>
      <w:r w:rsidRPr="00EC3F84">
        <w:rPr>
          <w:rFonts w:ascii="Times New Roman" w:eastAsia="Times New Roman" w:hAnsi="Times New Roman" w:cs="Times New Roman"/>
          <w:bCs/>
          <w:color w:val="373737"/>
          <w:sz w:val="20"/>
          <w:szCs w:val="20"/>
          <w:lang w:eastAsia="tr-TR"/>
        </w:rPr>
        <w:t>Öğrenciler, istedikleri takdirde hibe almaksızın faaliyetlere katılabilirler. Hibesiz öğrenciler de diğer başvurularla beraber genel değerlendirmeye tabi tutulur ve hibeli öğrencilerle aynı süreçten geçer. Hibesiz öğrencinin farkı, öğrencinin bütçe hesaplamalarına dâhil edilmemesi ve kendisine ödeme yapılmamasıdır. Hibe alınmaması öğrencinin seçim sürecine dâhil olmamasına gerekçe değildir.</w:t>
      </w:r>
    </w:p>
    <w:p w:rsidR="00485634" w:rsidRPr="00EC3F84" w:rsidRDefault="00485634" w:rsidP="00485634">
      <w:pPr>
        <w:rPr>
          <w:rFonts w:ascii="Times New Roman" w:eastAsia="Times New Roman" w:hAnsi="Times New Roman" w:cs="Times New Roman"/>
          <w:bCs/>
          <w:color w:val="373737"/>
          <w:sz w:val="20"/>
          <w:szCs w:val="20"/>
          <w:lang w:eastAsia="tr-TR"/>
        </w:rPr>
      </w:pPr>
    </w:p>
    <w:p w:rsidR="00485634" w:rsidRPr="00142C3E" w:rsidRDefault="00485634" w:rsidP="00485634">
      <w:pPr>
        <w:jc w:val="center"/>
        <w:rPr>
          <w:rFonts w:ascii="Times New Roman" w:eastAsia="Times New Roman" w:hAnsi="Times New Roman" w:cs="Times New Roman"/>
          <w:b/>
          <w:bCs/>
          <w:color w:val="373737"/>
          <w:sz w:val="24"/>
          <w:szCs w:val="24"/>
          <w:lang w:eastAsia="tr-TR"/>
        </w:rPr>
      </w:pPr>
      <w:r w:rsidRPr="00142C3E">
        <w:rPr>
          <w:rFonts w:ascii="Times New Roman" w:eastAsia="Times New Roman" w:hAnsi="Times New Roman" w:cs="Times New Roman"/>
          <w:b/>
          <w:bCs/>
          <w:color w:val="373737"/>
          <w:sz w:val="24"/>
          <w:szCs w:val="24"/>
          <w:lang w:eastAsia="tr-TR"/>
        </w:rPr>
        <w:t>EKONOMİK AÇIDAN İMKANLARI KISITLI ÖĞRENCİLERE İLAVE HİBE</w:t>
      </w:r>
    </w:p>
    <w:p w:rsidR="00485634" w:rsidRDefault="00485634" w:rsidP="00485634">
      <w:pPr>
        <w:rPr>
          <w:rFonts w:ascii="Times New Roman" w:hAnsi="Times New Roman" w:cs="Times New Roman"/>
          <w:sz w:val="20"/>
          <w:szCs w:val="20"/>
        </w:rPr>
      </w:pPr>
      <w:r w:rsidRPr="00EC3F84">
        <w:rPr>
          <w:rFonts w:ascii="Times New Roman" w:hAnsi="Times New Roman" w:cs="Times New Roman"/>
          <w:sz w:val="20"/>
          <w:szCs w:val="20"/>
        </w:rPr>
        <w:t xml:space="preserve">Öğrenim hareketliliği (SMS) için seçilen ekonomik açıdan imkânı kısıtlı öğrencilere tablo-2 de belirtilen aylık hibe miktarlarına ek olarak öğrenim hareketliliği bütçesinden aylık 100 € ilave hibe ödenir. 29.05.1989 tarih ve 3294 Sayılı Sosyal Yardımlaşma ve Dayanışmayı Teşvik Kanunu’nun 2. Maddesi kapsamında anne veya babasına ya da kendisine muhtaçlık aylığı bağlanan öğrenciler ekonomik açıdan imkânı kısıtlılara yönelik ilave hibe imkânından yararlanırlar. Hareketliliğe seçilen öğrencinin ilave hibeden yararlanmak için Hibe Sözleşmesi imzalanmadan önce Erasmus ofisine başvurarak bağlı bulunduğu </w:t>
      </w:r>
      <w:r w:rsidRPr="00EC3F84">
        <w:rPr>
          <w:rFonts w:ascii="Times New Roman" w:hAnsi="Times New Roman" w:cs="Times New Roman"/>
          <w:b/>
          <w:sz w:val="20"/>
          <w:szCs w:val="20"/>
        </w:rPr>
        <w:t>Aile, Çalışma ve Sosyal Hizmetler İl Müdürlüğü’nden</w:t>
      </w:r>
      <w:r w:rsidRPr="00EC3F84">
        <w:rPr>
          <w:rFonts w:ascii="Times New Roman" w:hAnsi="Times New Roman" w:cs="Times New Roman"/>
          <w:sz w:val="20"/>
          <w:szCs w:val="20"/>
        </w:rPr>
        <w:t xml:space="preserve"> alacağı yukarıda belirtilen Kanun kapsamında </w:t>
      </w:r>
      <w:r w:rsidRPr="00EC3F84">
        <w:rPr>
          <w:rFonts w:ascii="Times New Roman" w:hAnsi="Times New Roman" w:cs="Times New Roman"/>
          <w:b/>
          <w:sz w:val="20"/>
          <w:szCs w:val="20"/>
        </w:rPr>
        <w:t>muhtaçlık aylığı</w:t>
      </w:r>
      <w:r w:rsidRPr="00EC3F84">
        <w:rPr>
          <w:rFonts w:ascii="Times New Roman" w:hAnsi="Times New Roman" w:cs="Times New Roman"/>
          <w:sz w:val="20"/>
          <w:szCs w:val="20"/>
        </w:rPr>
        <w:t xml:space="preserve"> aldığına dair belgeyi ibraz etmesi gereklidir. </w:t>
      </w:r>
    </w:p>
    <w:p w:rsidR="00634E33" w:rsidRPr="00142C3E" w:rsidRDefault="00634E33" w:rsidP="00485634">
      <w:pPr>
        <w:rPr>
          <w:rFonts w:ascii="Times New Roman" w:eastAsia="Times New Roman" w:hAnsi="Times New Roman" w:cs="Times New Roman"/>
          <w:bCs/>
          <w:color w:val="373737"/>
          <w:sz w:val="24"/>
          <w:szCs w:val="24"/>
          <w:lang w:eastAsia="tr-TR"/>
        </w:rPr>
      </w:pPr>
    </w:p>
    <w:p w:rsidR="00485634" w:rsidRPr="00142C3E" w:rsidRDefault="00485634" w:rsidP="00485634">
      <w:pPr>
        <w:jc w:val="center"/>
        <w:rPr>
          <w:rFonts w:ascii="Times New Roman" w:eastAsia="Times New Roman" w:hAnsi="Times New Roman" w:cs="Times New Roman"/>
          <w:b/>
          <w:bCs/>
          <w:color w:val="373737"/>
          <w:sz w:val="24"/>
          <w:szCs w:val="24"/>
          <w:lang w:eastAsia="tr-TR"/>
        </w:rPr>
      </w:pPr>
      <w:r w:rsidRPr="00142C3E">
        <w:rPr>
          <w:rFonts w:ascii="Times New Roman" w:eastAsia="Times New Roman" w:hAnsi="Times New Roman" w:cs="Times New Roman"/>
          <w:b/>
          <w:bCs/>
          <w:color w:val="373737"/>
          <w:sz w:val="24"/>
          <w:szCs w:val="24"/>
          <w:lang w:eastAsia="tr-TR"/>
        </w:rPr>
        <w:t>ÖNEMLİ NOTLAR</w:t>
      </w:r>
    </w:p>
    <w:tbl>
      <w:tblPr>
        <w:tblW w:w="920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06"/>
      </w:tblGrid>
      <w:tr w:rsidR="00485634" w:rsidRPr="00EC3F84" w:rsidTr="00EF2DC9">
        <w:trPr>
          <w:tblCellSpacing w:w="0" w:type="dxa"/>
        </w:trPr>
        <w:tc>
          <w:tcPr>
            <w:tcW w:w="9206" w:type="dxa"/>
            <w:tcBorders>
              <w:top w:val="outset" w:sz="6" w:space="0" w:color="auto"/>
              <w:left w:val="outset" w:sz="6" w:space="0" w:color="auto"/>
              <w:bottom w:val="outset" w:sz="6" w:space="0" w:color="auto"/>
              <w:right w:val="outset" w:sz="6" w:space="0" w:color="auto"/>
            </w:tcBorders>
            <w:hideMark/>
          </w:tcPr>
          <w:p w:rsidR="00485634" w:rsidRPr="00EC3F84" w:rsidRDefault="00485634" w:rsidP="00EF2DC9">
            <w:pPr>
              <w:rPr>
                <w:rFonts w:ascii="Times New Roman" w:eastAsia="Times New Roman" w:hAnsi="Times New Roman" w:cs="Times New Roman"/>
                <w:bCs/>
                <w:color w:val="373737"/>
                <w:sz w:val="20"/>
                <w:szCs w:val="20"/>
                <w:lang w:eastAsia="tr-TR"/>
              </w:rPr>
            </w:pPr>
            <w:r w:rsidRPr="00EC3F84">
              <w:rPr>
                <w:rFonts w:ascii="Times New Roman" w:eastAsia="Times New Roman" w:hAnsi="Times New Roman" w:cs="Times New Roman"/>
                <w:bCs/>
                <w:color w:val="373737"/>
                <w:sz w:val="20"/>
                <w:szCs w:val="20"/>
                <w:lang w:eastAsia="tr-TR"/>
              </w:rPr>
              <w:t>Öğrencinin alttan dersinin olması ve sınıf tekrarı yapmış olması Erasmus+ başvurusuna engel değildir.</w:t>
            </w:r>
          </w:p>
        </w:tc>
      </w:tr>
      <w:tr w:rsidR="00485634" w:rsidRPr="00EC3F84" w:rsidTr="00EF2DC9">
        <w:trPr>
          <w:tblCellSpacing w:w="0" w:type="dxa"/>
        </w:trPr>
        <w:tc>
          <w:tcPr>
            <w:tcW w:w="9206" w:type="dxa"/>
            <w:tcBorders>
              <w:top w:val="outset" w:sz="6" w:space="0" w:color="auto"/>
              <w:left w:val="outset" w:sz="6" w:space="0" w:color="auto"/>
              <w:bottom w:val="outset" w:sz="6" w:space="0" w:color="auto"/>
              <w:right w:val="outset" w:sz="6" w:space="0" w:color="auto"/>
            </w:tcBorders>
            <w:hideMark/>
          </w:tcPr>
          <w:p w:rsidR="00485634" w:rsidRPr="00EC3F84" w:rsidRDefault="00485634" w:rsidP="00EF2DC9">
            <w:pPr>
              <w:rPr>
                <w:rFonts w:ascii="Times New Roman" w:eastAsia="Times New Roman" w:hAnsi="Times New Roman" w:cs="Times New Roman"/>
                <w:bCs/>
                <w:color w:val="373737"/>
                <w:sz w:val="20"/>
                <w:szCs w:val="20"/>
                <w:lang w:eastAsia="tr-TR"/>
              </w:rPr>
            </w:pPr>
            <w:r w:rsidRPr="00EC3F84">
              <w:rPr>
                <w:rFonts w:ascii="Times New Roman" w:eastAsia="Times New Roman" w:hAnsi="Times New Roman" w:cs="Times New Roman"/>
                <w:bCs/>
                <w:color w:val="373737"/>
                <w:sz w:val="20"/>
                <w:szCs w:val="20"/>
                <w:lang w:eastAsia="tr-TR"/>
              </w:rPr>
              <w:t>Daha önce Erasmus+ kapsamında hibeli/hibesiz olarak hareketlilikte bulunanlar, hareketlilikten tekrar yararlanabilir.</w:t>
            </w:r>
          </w:p>
        </w:tc>
      </w:tr>
      <w:tr w:rsidR="00485634" w:rsidRPr="00EC3F84" w:rsidTr="00EF2DC9">
        <w:trPr>
          <w:tblCellSpacing w:w="0" w:type="dxa"/>
        </w:trPr>
        <w:tc>
          <w:tcPr>
            <w:tcW w:w="9206" w:type="dxa"/>
            <w:tcBorders>
              <w:top w:val="outset" w:sz="6" w:space="0" w:color="auto"/>
              <w:left w:val="outset" w:sz="6" w:space="0" w:color="auto"/>
              <w:bottom w:val="outset" w:sz="6" w:space="0" w:color="auto"/>
              <w:right w:val="outset" w:sz="6" w:space="0" w:color="auto"/>
            </w:tcBorders>
            <w:hideMark/>
          </w:tcPr>
          <w:p w:rsidR="00485634" w:rsidRPr="00EC3F84" w:rsidRDefault="00485634" w:rsidP="00EF2DC9">
            <w:pPr>
              <w:rPr>
                <w:rFonts w:ascii="Times New Roman" w:eastAsia="Times New Roman" w:hAnsi="Times New Roman" w:cs="Times New Roman"/>
                <w:bCs/>
                <w:color w:val="373737"/>
                <w:sz w:val="20"/>
                <w:szCs w:val="20"/>
                <w:lang w:eastAsia="tr-TR"/>
              </w:rPr>
            </w:pPr>
            <w:r w:rsidRPr="00EC3F84">
              <w:rPr>
                <w:rFonts w:ascii="Times New Roman" w:eastAsia="Times New Roman" w:hAnsi="Times New Roman" w:cs="Times New Roman"/>
                <w:bCs/>
                <w:color w:val="373737"/>
                <w:sz w:val="20"/>
                <w:szCs w:val="20"/>
                <w:lang w:eastAsia="tr-TR"/>
              </w:rPr>
              <w:t>Erasmus+ Staj Hareketliliği programından yararlanmak isteyen öğrencilerin öğrenim gördükleri bölümlere ilişkin Erasmus+ ikili anlaşması olma zorunluluğu yoktur. Sınava sadece staj seçeneğini seçerek başvurabilirler.</w:t>
            </w:r>
          </w:p>
        </w:tc>
      </w:tr>
      <w:tr w:rsidR="00485634" w:rsidRPr="00EC3F84" w:rsidTr="00EF2DC9">
        <w:trPr>
          <w:tblCellSpacing w:w="0" w:type="dxa"/>
        </w:trPr>
        <w:tc>
          <w:tcPr>
            <w:tcW w:w="9206" w:type="dxa"/>
            <w:tcBorders>
              <w:top w:val="outset" w:sz="6" w:space="0" w:color="auto"/>
              <w:left w:val="outset" w:sz="6" w:space="0" w:color="auto"/>
              <w:bottom w:val="outset" w:sz="6" w:space="0" w:color="auto"/>
              <w:right w:val="outset" w:sz="6" w:space="0" w:color="auto"/>
            </w:tcBorders>
            <w:hideMark/>
          </w:tcPr>
          <w:p w:rsidR="00485634" w:rsidRPr="00EC3F84" w:rsidRDefault="00485634" w:rsidP="00EF2DC9">
            <w:pPr>
              <w:rPr>
                <w:rFonts w:ascii="Times New Roman" w:eastAsia="Times New Roman" w:hAnsi="Times New Roman" w:cs="Times New Roman"/>
                <w:bCs/>
                <w:color w:val="373737"/>
                <w:sz w:val="20"/>
                <w:szCs w:val="20"/>
                <w:lang w:eastAsia="tr-TR"/>
              </w:rPr>
            </w:pPr>
            <w:r w:rsidRPr="00EC3F84">
              <w:rPr>
                <w:rFonts w:ascii="Times New Roman" w:eastAsia="Times New Roman" w:hAnsi="Times New Roman" w:cs="Times New Roman"/>
                <w:bCs/>
                <w:color w:val="373737"/>
                <w:sz w:val="20"/>
                <w:szCs w:val="20"/>
                <w:lang w:eastAsia="tr-TR"/>
              </w:rPr>
              <w:t xml:space="preserve">Program kuralları gereği bir öğrenci her öğrenim kademesinde Erasmus+ Öğrenim Hareketliliğinden minimum 3 ay maksimum 12 ay; Erasmus+ Staj Hareketliliğinden minimum 2 ay maksimum 12 ay faydalanır. </w:t>
            </w:r>
          </w:p>
        </w:tc>
      </w:tr>
      <w:tr w:rsidR="00485634" w:rsidRPr="00EC3F84" w:rsidTr="00EF2DC9">
        <w:trPr>
          <w:tblCellSpacing w:w="0" w:type="dxa"/>
        </w:trPr>
        <w:tc>
          <w:tcPr>
            <w:tcW w:w="9206" w:type="dxa"/>
            <w:tcBorders>
              <w:top w:val="outset" w:sz="6" w:space="0" w:color="auto"/>
              <w:left w:val="outset" w:sz="6" w:space="0" w:color="auto"/>
              <w:bottom w:val="outset" w:sz="6" w:space="0" w:color="auto"/>
              <w:right w:val="outset" w:sz="6" w:space="0" w:color="auto"/>
            </w:tcBorders>
            <w:hideMark/>
          </w:tcPr>
          <w:p w:rsidR="00485634" w:rsidRPr="00EC3F84" w:rsidRDefault="00485634" w:rsidP="00EF2DC9">
            <w:pPr>
              <w:rPr>
                <w:rFonts w:ascii="Times New Roman" w:eastAsia="Times New Roman" w:hAnsi="Times New Roman" w:cs="Times New Roman"/>
                <w:bCs/>
                <w:color w:val="373737"/>
                <w:sz w:val="20"/>
                <w:szCs w:val="20"/>
                <w:lang w:eastAsia="tr-TR"/>
              </w:rPr>
            </w:pPr>
            <w:r w:rsidRPr="00EC3F84">
              <w:rPr>
                <w:rFonts w:ascii="Times New Roman" w:eastAsia="Times New Roman" w:hAnsi="Times New Roman" w:cs="Times New Roman"/>
                <w:bCs/>
                <w:color w:val="373737"/>
                <w:sz w:val="20"/>
                <w:szCs w:val="20"/>
                <w:lang w:eastAsia="tr-TR"/>
              </w:rPr>
              <w:t>Her öğrenci Erasmus+ kapsamında bulunduğu her öğrenim kademesinde (lisans, yükseklisans, doktora) daha önce yararlandığı faaliyet süresi dâhil hibeli veya hibesiz en fazla toplam 12 ay öğrenim ve/veya staj hareketliliğinden yararlanabilir.</w:t>
            </w:r>
          </w:p>
        </w:tc>
      </w:tr>
      <w:tr w:rsidR="00485634" w:rsidRPr="00EC3F84" w:rsidTr="00EF2DC9">
        <w:trPr>
          <w:tblCellSpacing w:w="0" w:type="dxa"/>
        </w:trPr>
        <w:tc>
          <w:tcPr>
            <w:tcW w:w="9206" w:type="dxa"/>
            <w:tcBorders>
              <w:top w:val="outset" w:sz="6" w:space="0" w:color="auto"/>
              <w:left w:val="outset" w:sz="6" w:space="0" w:color="auto"/>
              <w:bottom w:val="outset" w:sz="6" w:space="0" w:color="auto"/>
              <w:right w:val="outset" w:sz="6" w:space="0" w:color="auto"/>
            </w:tcBorders>
            <w:hideMark/>
          </w:tcPr>
          <w:p w:rsidR="00485634" w:rsidRPr="00EC3F84" w:rsidRDefault="00485634" w:rsidP="00EF2DC9">
            <w:pPr>
              <w:rPr>
                <w:rFonts w:ascii="Times New Roman" w:eastAsia="Times New Roman" w:hAnsi="Times New Roman" w:cs="Times New Roman"/>
                <w:bCs/>
                <w:color w:val="373737"/>
                <w:sz w:val="20"/>
                <w:szCs w:val="20"/>
                <w:lang w:eastAsia="tr-TR"/>
              </w:rPr>
            </w:pPr>
            <w:r w:rsidRPr="00EC3F84">
              <w:rPr>
                <w:rFonts w:ascii="Times New Roman" w:eastAsia="Times New Roman" w:hAnsi="Times New Roman" w:cs="Times New Roman"/>
                <w:bCs/>
                <w:color w:val="373737"/>
                <w:sz w:val="20"/>
                <w:szCs w:val="20"/>
                <w:lang w:eastAsia="tr-TR"/>
              </w:rPr>
              <w:t>Başvuruda bulunan her öğrenci Erasmus+ Uygulama El Kitabı’nda yer alan şartları kabul etmiş sayılır ve oluşabilecek her durumda ilgili dokümanlardaki bilgilere göre karar verilir.</w:t>
            </w:r>
          </w:p>
          <w:p w:rsidR="00485634" w:rsidRPr="00EC3F84" w:rsidRDefault="007800FB" w:rsidP="00EF2DC9">
            <w:pPr>
              <w:rPr>
                <w:rFonts w:ascii="Times New Roman" w:eastAsia="Times New Roman" w:hAnsi="Times New Roman" w:cs="Times New Roman"/>
                <w:bCs/>
                <w:color w:val="373737"/>
                <w:sz w:val="20"/>
                <w:szCs w:val="20"/>
                <w:lang w:eastAsia="tr-TR"/>
              </w:rPr>
            </w:pPr>
            <w:hyperlink r:id="rId8" w:history="1">
              <w:r w:rsidR="00485634" w:rsidRPr="00EC3F84">
                <w:rPr>
                  <w:rStyle w:val="Kpr"/>
                  <w:rFonts w:ascii="Times New Roman" w:hAnsi="Times New Roman" w:cs="Times New Roman"/>
                </w:rPr>
                <w:t>https://erasmus.subu.edu.tr/tr/icerik/0/3458/erasmus-el-kitab%C4%B1</w:t>
              </w:r>
            </w:hyperlink>
          </w:p>
        </w:tc>
      </w:tr>
      <w:tr w:rsidR="00485634" w:rsidRPr="00EC3F84" w:rsidTr="00EF2DC9">
        <w:trPr>
          <w:tblCellSpacing w:w="0" w:type="dxa"/>
        </w:trPr>
        <w:tc>
          <w:tcPr>
            <w:tcW w:w="9206" w:type="dxa"/>
            <w:tcBorders>
              <w:top w:val="outset" w:sz="6" w:space="0" w:color="auto"/>
              <w:left w:val="outset" w:sz="6" w:space="0" w:color="auto"/>
              <w:bottom w:val="outset" w:sz="6" w:space="0" w:color="auto"/>
              <w:right w:val="outset" w:sz="6" w:space="0" w:color="auto"/>
            </w:tcBorders>
          </w:tcPr>
          <w:p w:rsidR="00485634" w:rsidRPr="00EC3F84" w:rsidRDefault="00485634" w:rsidP="00485634">
            <w:pPr>
              <w:numPr>
                <w:ilvl w:val="0"/>
                <w:numId w:val="1"/>
              </w:numPr>
              <w:shd w:val="clear" w:color="auto" w:fill="FFFFFF"/>
              <w:spacing w:after="0" w:line="240" w:lineRule="auto"/>
              <w:ind w:left="0"/>
              <w:rPr>
                <w:rFonts w:ascii="Times New Roman" w:eastAsia="Times New Roman" w:hAnsi="Times New Roman" w:cs="Times New Roman"/>
                <w:color w:val="373737"/>
                <w:sz w:val="20"/>
                <w:szCs w:val="20"/>
                <w:lang w:eastAsia="tr-TR"/>
              </w:rPr>
            </w:pPr>
            <w:r w:rsidRPr="00EC3F84">
              <w:rPr>
                <w:rFonts w:ascii="Times New Roman" w:eastAsia="Times New Roman" w:hAnsi="Times New Roman" w:cs="Times New Roman"/>
                <w:color w:val="373737"/>
                <w:sz w:val="20"/>
                <w:szCs w:val="20"/>
                <w:lang w:eastAsia="tr-TR"/>
              </w:rPr>
              <w:t>Faaliyete katılacak öğrencilerin tam zamanlı öğrenciler olması gerekir. Öğrencilerin diploma/derecelerinin gerektirdiği çalışmaları yurtdışında yapmak üzere bir yarıyıl için 30, bir tam akademik yıl için 60 AKTS kredisine denk gelen programı takip etmek üzere gönderilmesi beklenir. Takip edilen programda başarılı olunan kredilere tam akademik tanınma sağlanır, başarısız olunan krediler bir sonraki akademik yıl içerisinde tekrar edilir.</w:t>
            </w:r>
          </w:p>
          <w:p w:rsidR="00485634" w:rsidRPr="00EC3F84" w:rsidRDefault="00485634" w:rsidP="00EF2DC9">
            <w:pPr>
              <w:rPr>
                <w:rFonts w:ascii="Times New Roman" w:eastAsia="Times New Roman" w:hAnsi="Times New Roman" w:cs="Times New Roman"/>
                <w:bCs/>
                <w:color w:val="373737"/>
                <w:sz w:val="20"/>
                <w:szCs w:val="20"/>
                <w:lang w:eastAsia="tr-TR"/>
              </w:rPr>
            </w:pPr>
          </w:p>
        </w:tc>
      </w:tr>
      <w:tr w:rsidR="00485634" w:rsidRPr="00EC3F84" w:rsidTr="00EF2DC9">
        <w:trPr>
          <w:tblCellSpacing w:w="0" w:type="dxa"/>
        </w:trPr>
        <w:tc>
          <w:tcPr>
            <w:tcW w:w="9206" w:type="dxa"/>
            <w:tcBorders>
              <w:top w:val="outset" w:sz="6" w:space="0" w:color="auto"/>
              <w:left w:val="outset" w:sz="6" w:space="0" w:color="auto"/>
              <w:bottom w:val="outset" w:sz="6" w:space="0" w:color="auto"/>
              <w:right w:val="outset" w:sz="6" w:space="0" w:color="auto"/>
            </w:tcBorders>
          </w:tcPr>
          <w:p w:rsidR="00485634" w:rsidRPr="00EC3F84" w:rsidRDefault="00485634" w:rsidP="00485634">
            <w:pPr>
              <w:numPr>
                <w:ilvl w:val="0"/>
                <w:numId w:val="1"/>
              </w:numPr>
              <w:shd w:val="clear" w:color="auto" w:fill="FFFFFF"/>
              <w:spacing w:after="0" w:line="240" w:lineRule="auto"/>
              <w:ind w:left="0"/>
              <w:rPr>
                <w:rFonts w:ascii="Times New Roman" w:eastAsia="Times New Roman" w:hAnsi="Times New Roman" w:cs="Times New Roman"/>
                <w:color w:val="373737"/>
                <w:sz w:val="20"/>
                <w:szCs w:val="20"/>
                <w:lang w:eastAsia="tr-TR"/>
              </w:rPr>
            </w:pPr>
            <w:r w:rsidRPr="00EC3F84">
              <w:rPr>
                <w:rFonts w:ascii="Times New Roman" w:eastAsia="Times New Roman" w:hAnsi="Times New Roman" w:cs="Times New Roman"/>
                <w:color w:val="373737"/>
                <w:sz w:val="20"/>
                <w:szCs w:val="20"/>
                <w:u w:val="single"/>
                <w:lang w:eastAsia="tr-TR"/>
              </w:rPr>
              <w:t>Yedek Yerleştirme</w:t>
            </w:r>
            <w:r w:rsidRPr="00EC3F84">
              <w:rPr>
                <w:rFonts w:ascii="Times New Roman" w:eastAsia="Times New Roman" w:hAnsi="Times New Roman" w:cs="Times New Roman"/>
                <w:color w:val="373737"/>
                <w:sz w:val="20"/>
                <w:szCs w:val="20"/>
                <w:lang w:eastAsia="tr-TR"/>
              </w:rPr>
              <w:t>; İptal eden öğrenciler olması durumunda, yedek listede bulunan öğrenciler arasından, karşı kurumun akademik takvimine göre yapılacaktır. Asil aday öğrenci listesinde bulunan bir öğrencinin hakkını iptal ettirmesi, yedek yerleştirmeden yararlanmasını hiçbir şekilde sağlamaz. Bu sebeple tercih yaparken bilinçli şekilde davranınız.</w:t>
            </w:r>
          </w:p>
          <w:p w:rsidR="00485634" w:rsidRPr="00EC3F84" w:rsidRDefault="00485634" w:rsidP="00485634">
            <w:pPr>
              <w:numPr>
                <w:ilvl w:val="0"/>
                <w:numId w:val="1"/>
              </w:numPr>
              <w:shd w:val="clear" w:color="auto" w:fill="FFFFFF"/>
              <w:spacing w:after="0" w:line="240" w:lineRule="auto"/>
              <w:ind w:left="0"/>
              <w:rPr>
                <w:rFonts w:ascii="Times New Roman" w:eastAsia="Times New Roman" w:hAnsi="Times New Roman" w:cs="Times New Roman"/>
                <w:bCs/>
                <w:color w:val="373737"/>
                <w:sz w:val="20"/>
                <w:szCs w:val="20"/>
                <w:lang w:eastAsia="tr-TR"/>
              </w:rPr>
            </w:pPr>
          </w:p>
        </w:tc>
      </w:tr>
      <w:tr w:rsidR="00485634" w:rsidRPr="00EC3F84" w:rsidTr="00EF2DC9">
        <w:trPr>
          <w:tblCellSpacing w:w="0" w:type="dxa"/>
        </w:trPr>
        <w:tc>
          <w:tcPr>
            <w:tcW w:w="9206" w:type="dxa"/>
            <w:tcBorders>
              <w:top w:val="outset" w:sz="6" w:space="0" w:color="auto"/>
              <w:left w:val="outset" w:sz="6" w:space="0" w:color="auto"/>
              <w:bottom w:val="outset" w:sz="6" w:space="0" w:color="auto"/>
              <w:right w:val="outset" w:sz="6" w:space="0" w:color="auto"/>
            </w:tcBorders>
          </w:tcPr>
          <w:p w:rsidR="00485634" w:rsidRPr="00EC3F84" w:rsidRDefault="00485634" w:rsidP="00485634">
            <w:pPr>
              <w:numPr>
                <w:ilvl w:val="0"/>
                <w:numId w:val="1"/>
              </w:numPr>
              <w:shd w:val="clear" w:color="auto" w:fill="FFFFFF"/>
              <w:spacing w:after="0" w:line="240" w:lineRule="auto"/>
              <w:ind w:left="0"/>
              <w:rPr>
                <w:rFonts w:ascii="Times New Roman" w:eastAsia="Times New Roman" w:hAnsi="Times New Roman" w:cs="Times New Roman"/>
                <w:color w:val="373737"/>
                <w:sz w:val="20"/>
                <w:szCs w:val="20"/>
                <w:lang w:eastAsia="tr-TR"/>
              </w:rPr>
            </w:pPr>
            <w:r w:rsidRPr="00EC3F84">
              <w:rPr>
                <w:rFonts w:ascii="Times New Roman" w:eastAsia="Times New Roman" w:hAnsi="Times New Roman" w:cs="Times New Roman"/>
                <w:color w:val="373737"/>
                <w:sz w:val="20"/>
                <w:szCs w:val="20"/>
                <w:lang w:eastAsia="tr-TR"/>
              </w:rPr>
              <w:t>Kayıt donduran öğrenciler hareketlilikten yararlanamaz. (2019 uygulama el kitabı ile eklenmiştir) </w:t>
            </w:r>
          </w:p>
          <w:p w:rsidR="00485634" w:rsidRPr="00EC3F84" w:rsidRDefault="00485634" w:rsidP="00EF2DC9">
            <w:pPr>
              <w:rPr>
                <w:rFonts w:ascii="Times New Roman" w:eastAsia="Times New Roman" w:hAnsi="Times New Roman" w:cs="Times New Roman"/>
                <w:bCs/>
                <w:color w:val="373737"/>
                <w:sz w:val="20"/>
                <w:szCs w:val="20"/>
                <w:lang w:eastAsia="tr-TR"/>
              </w:rPr>
            </w:pPr>
          </w:p>
        </w:tc>
      </w:tr>
      <w:tr w:rsidR="00485634" w:rsidRPr="00EC3F84" w:rsidTr="00EF2DC9">
        <w:trPr>
          <w:tblCellSpacing w:w="0" w:type="dxa"/>
        </w:trPr>
        <w:tc>
          <w:tcPr>
            <w:tcW w:w="9206" w:type="dxa"/>
            <w:tcBorders>
              <w:top w:val="outset" w:sz="6" w:space="0" w:color="auto"/>
              <w:left w:val="outset" w:sz="6" w:space="0" w:color="auto"/>
              <w:bottom w:val="outset" w:sz="6" w:space="0" w:color="auto"/>
              <w:right w:val="outset" w:sz="6" w:space="0" w:color="auto"/>
            </w:tcBorders>
          </w:tcPr>
          <w:p w:rsidR="00485634" w:rsidRPr="00EC3F84" w:rsidRDefault="00485634" w:rsidP="00485634">
            <w:pPr>
              <w:numPr>
                <w:ilvl w:val="0"/>
                <w:numId w:val="1"/>
              </w:numPr>
              <w:shd w:val="clear" w:color="auto" w:fill="FFFFFF"/>
              <w:spacing w:after="0" w:line="240" w:lineRule="auto"/>
              <w:ind w:left="0"/>
              <w:rPr>
                <w:rFonts w:ascii="Times New Roman" w:eastAsia="Times New Roman" w:hAnsi="Times New Roman" w:cs="Times New Roman"/>
                <w:color w:val="373737"/>
                <w:sz w:val="20"/>
                <w:szCs w:val="20"/>
                <w:lang w:eastAsia="tr-TR"/>
              </w:rPr>
            </w:pPr>
            <w:r w:rsidRPr="00EC3F84">
              <w:rPr>
                <w:rFonts w:ascii="Times New Roman" w:eastAsia="Times New Roman" w:hAnsi="Times New Roman" w:cs="Times New Roman"/>
                <w:color w:val="373737"/>
                <w:sz w:val="20"/>
                <w:szCs w:val="20"/>
                <w:lang w:eastAsia="tr-TR"/>
              </w:rPr>
              <w:lastRenderedPageBreak/>
              <w:t>Burada belirtilemeyen tüm hususlarda, ilgili yılın Erasmus uygulama el kitabı hükümleri uygulanır. </w:t>
            </w:r>
          </w:p>
          <w:p w:rsidR="00485634" w:rsidRPr="00EC3F84" w:rsidRDefault="007800FB" w:rsidP="00485634">
            <w:pPr>
              <w:numPr>
                <w:ilvl w:val="0"/>
                <w:numId w:val="1"/>
              </w:numPr>
              <w:shd w:val="clear" w:color="auto" w:fill="FFFFFF"/>
              <w:spacing w:after="0" w:line="240" w:lineRule="auto"/>
              <w:ind w:left="0"/>
              <w:rPr>
                <w:rFonts w:ascii="Times New Roman" w:eastAsia="Times New Roman" w:hAnsi="Times New Roman" w:cs="Times New Roman"/>
                <w:color w:val="373737"/>
                <w:sz w:val="20"/>
                <w:szCs w:val="20"/>
                <w:lang w:eastAsia="tr-TR"/>
              </w:rPr>
            </w:pPr>
            <w:hyperlink r:id="rId9" w:history="1">
              <w:r w:rsidR="00485634" w:rsidRPr="00EC3F84">
                <w:rPr>
                  <w:rStyle w:val="Kpr"/>
                  <w:rFonts w:ascii="Times New Roman" w:hAnsi="Times New Roman" w:cs="Times New Roman"/>
                </w:rPr>
                <w:t>https://erasmus.subu.edu.tr/tr/icerik/0/3458/erasmus-el-kitab%C4%B1</w:t>
              </w:r>
            </w:hyperlink>
          </w:p>
        </w:tc>
      </w:tr>
    </w:tbl>
    <w:p w:rsidR="00485634" w:rsidRPr="00142C3E" w:rsidRDefault="00485634" w:rsidP="001F479F">
      <w:pPr>
        <w:jc w:val="center"/>
        <w:rPr>
          <w:sz w:val="24"/>
          <w:szCs w:val="24"/>
        </w:rPr>
      </w:pPr>
      <w:r w:rsidRPr="00142C3E">
        <w:rPr>
          <w:rFonts w:ascii="Times New Roman" w:eastAsia="Times New Roman" w:hAnsi="Times New Roman" w:cs="Times New Roman"/>
          <w:b/>
          <w:bCs/>
          <w:color w:val="373737"/>
          <w:sz w:val="24"/>
          <w:szCs w:val="24"/>
          <w:lang w:eastAsia="tr-TR"/>
        </w:rPr>
        <w:t>ERASMUS+ ÖĞRENCİSİNİN SORUMLULUKLARI</w:t>
      </w:r>
    </w:p>
    <w:tbl>
      <w:tblPr>
        <w:tblW w:w="91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65"/>
      </w:tblGrid>
      <w:tr w:rsidR="00485634" w:rsidRPr="00EC3F84" w:rsidTr="00EF2DC9">
        <w:trPr>
          <w:tblCellSpacing w:w="0" w:type="dxa"/>
        </w:trPr>
        <w:tc>
          <w:tcPr>
            <w:tcW w:w="9165" w:type="dxa"/>
            <w:tcBorders>
              <w:top w:val="outset" w:sz="6" w:space="0" w:color="auto"/>
              <w:left w:val="outset" w:sz="6" w:space="0" w:color="auto"/>
              <w:bottom w:val="outset" w:sz="6" w:space="0" w:color="auto"/>
              <w:right w:val="outset" w:sz="6" w:space="0" w:color="auto"/>
            </w:tcBorders>
            <w:hideMark/>
          </w:tcPr>
          <w:p w:rsidR="00485634" w:rsidRPr="00EC3F84" w:rsidRDefault="00485634" w:rsidP="00EF2DC9">
            <w:pPr>
              <w:rPr>
                <w:rFonts w:ascii="Times New Roman" w:eastAsia="Times New Roman" w:hAnsi="Times New Roman" w:cs="Times New Roman"/>
                <w:bCs/>
                <w:color w:val="373737"/>
                <w:sz w:val="20"/>
                <w:szCs w:val="20"/>
                <w:lang w:eastAsia="tr-TR"/>
              </w:rPr>
            </w:pPr>
            <w:r w:rsidRPr="00EC3F84">
              <w:rPr>
                <w:rFonts w:ascii="Times New Roman" w:eastAsia="Times New Roman" w:hAnsi="Times New Roman" w:cs="Times New Roman"/>
                <w:bCs/>
                <w:color w:val="373737"/>
                <w:sz w:val="20"/>
                <w:szCs w:val="20"/>
                <w:lang w:eastAsia="tr-TR"/>
              </w:rPr>
              <w:t>Erasmus+ Öğrenim Hareketliliğine başvuracak öğrencilerin öğrencisi oldukları bölüme ait Erasmus+ anlaşması olup olmadığını ve talep edilen dil/dillerin yeterlilik koşullarını sağlayıp sağlamadığını kontrol etmeleri gerekmektedir.</w:t>
            </w:r>
          </w:p>
        </w:tc>
      </w:tr>
      <w:tr w:rsidR="00485634" w:rsidRPr="00EC3F84" w:rsidTr="00EF2DC9">
        <w:trPr>
          <w:tblCellSpacing w:w="0" w:type="dxa"/>
        </w:trPr>
        <w:tc>
          <w:tcPr>
            <w:tcW w:w="9165" w:type="dxa"/>
            <w:tcBorders>
              <w:top w:val="outset" w:sz="6" w:space="0" w:color="auto"/>
              <w:left w:val="outset" w:sz="6" w:space="0" w:color="auto"/>
              <w:bottom w:val="outset" w:sz="6" w:space="0" w:color="auto"/>
              <w:right w:val="outset" w:sz="6" w:space="0" w:color="auto"/>
            </w:tcBorders>
            <w:hideMark/>
          </w:tcPr>
          <w:p w:rsidR="00485634" w:rsidRPr="00EC3F84" w:rsidRDefault="00485634" w:rsidP="00EF2DC9">
            <w:pPr>
              <w:rPr>
                <w:rFonts w:ascii="Times New Roman" w:eastAsia="Times New Roman" w:hAnsi="Times New Roman" w:cs="Times New Roman"/>
                <w:bCs/>
                <w:color w:val="373737"/>
                <w:sz w:val="20"/>
                <w:szCs w:val="20"/>
                <w:lang w:eastAsia="tr-TR"/>
              </w:rPr>
            </w:pPr>
            <w:r w:rsidRPr="00EC3F84">
              <w:rPr>
                <w:rFonts w:ascii="Times New Roman" w:eastAsia="Times New Roman" w:hAnsi="Times New Roman" w:cs="Times New Roman"/>
                <w:bCs/>
                <w:color w:val="373737"/>
                <w:sz w:val="20"/>
                <w:szCs w:val="20"/>
                <w:lang w:eastAsia="tr-TR"/>
              </w:rPr>
              <w:t>AKTS (ECTS) Bilgi Paketleri (ders kataloğu) dikkatlice okunmalıdır.</w:t>
            </w:r>
          </w:p>
        </w:tc>
      </w:tr>
      <w:tr w:rsidR="00485634" w:rsidRPr="00EC3F84" w:rsidTr="00EF2DC9">
        <w:trPr>
          <w:tblCellSpacing w:w="0" w:type="dxa"/>
        </w:trPr>
        <w:tc>
          <w:tcPr>
            <w:tcW w:w="9165" w:type="dxa"/>
            <w:tcBorders>
              <w:top w:val="outset" w:sz="6" w:space="0" w:color="auto"/>
              <w:left w:val="outset" w:sz="6" w:space="0" w:color="auto"/>
              <w:bottom w:val="outset" w:sz="6" w:space="0" w:color="auto"/>
              <w:right w:val="outset" w:sz="6" w:space="0" w:color="auto"/>
            </w:tcBorders>
            <w:hideMark/>
          </w:tcPr>
          <w:p w:rsidR="00485634" w:rsidRPr="00EC3F84" w:rsidRDefault="00485634" w:rsidP="00EF2DC9">
            <w:pPr>
              <w:rPr>
                <w:rFonts w:ascii="Times New Roman" w:eastAsia="Times New Roman" w:hAnsi="Times New Roman" w:cs="Times New Roman"/>
                <w:bCs/>
                <w:color w:val="373737"/>
                <w:sz w:val="20"/>
                <w:szCs w:val="20"/>
                <w:lang w:eastAsia="tr-TR"/>
              </w:rPr>
            </w:pPr>
            <w:r w:rsidRPr="00EC3F84">
              <w:rPr>
                <w:rFonts w:ascii="Times New Roman" w:eastAsia="Times New Roman" w:hAnsi="Times New Roman" w:cs="Times New Roman"/>
                <w:bCs/>
                <w:color w:val="373737"/>
                <w:sz w:val="20"/>
                <w:szCs w:val="20"/>
                <w:lang w:eastAsia="tr-TR"/>
              </w:rPr>
              <w:t>Gidilecek Üniversitenin Akademik takvim, dersler, barınma olanakları, son başvuru tarihleri, istenen belgeler, dil yeterlilikleri vs. hakkında bilgi edinilmelidir.</w:t>
            </w:r>
          </w:p>
        </w:tc>
      </w:tr>
      <w:tr w:rsidR="00485634" w:rsidRPr="00EC3F84" w:rsidTr="00EF2DC9">
        <w:trPr>
          <w:tblCellSpacing w:w="0" w:type="dxa"/>
        </w:trPr>
        <w:tc>
          <w:tcPr>
            <w:tcW w:w="9165" w:type="dxa"/>
            <w:tcBorders>
              <w:top w:val="outset" w:sz="6" w:space="0" w:color="auto"/>
              <w:left w:val="outset" w:sz="6" w:space="0" w:color="auto"/>
              <w:bottom w:val="outset" w:sz="6" w:space="0" w:color="auto"/>
              <w:right w:val="outset" w:sz="6" w:space="0" w:color="auto"/>
            </w:tcBorders>
            <w:hideMark/>
          </w:tcPr>
          <w:p w:rsidR="00485634" w:rsidRPr="00EC3F84" w:rsidRDefault="00485634" w:rsidP="00EF2DC9">
            <w:pPr>
              <w:rPr>
                <w:rFonts w:ascii="Times New Roman" w:eastAsia="Times New Roman" w:hAnsi="Times New Roman" w:cs="Times New Roman"/>
                <w:bCs/>
                <w:color w:val="373737"/>
                <w:sz w:val="20"/>
                <w:szCs w:val="20"/>
                <w:lang w:eastAsia="tr-TR"/>
              </w:rPr>
            </w:pPr>
            <w:r w:rsidRPr="00EC3F84">
              <w:rPr>
                <w:rFonts w:ascii="Times New Roman" w:eastAsia="Times New Roman" w:hAnsi="Times New Roman" w:cs="Times New Roman"/>
                <w:bCs/>
                <w:color w:val="373737"/>
                <w:sz w:val="20"/>
                <w:szCs w:val="20"/>
                <w:lang w:eastAsia="tr-TR"/>
              </w:rPr>
              <w:t>Gidilecek üniversitenin belli bir dil yeterlilik belgesi/seviyesi isteyip istemediği mutlaka araştırılmalıdır. İsteniyorsa bu belge de edinilmelidir.</w:t>
            </w:r>
          </w:p>
        </w:tc>
      </w:tr>
      <w:tr w:rsidR="00485634" w:rsidRPr="00EC3F84" w:rsidTr="00EF2DC9">
        <w:trPr>
          <w:tblCellSpacing w:w="0" w:type="dxa"/>
        </w:trPr>
        <w:tc>
          <w:tcPr>
            <w:tcW w:w="9165" w:type="dxa"/>
            <w:tcBorders>
              <w:top w:val="outset" w:sz="6" w:space="0" w:color="auto"/>
              <w:left w:val="outset" w:sz="6" w:space="0" w:color="auto"/>
              <w:bottom w:val="outset" w:sz="6" w:space="0" w:color="auto"/>
              <w:right w:val="outset" w:sz="6" w:space="0" w:color="auto"/>
            </w:tcBorders>
            <w:hideMark/>
          </w:tcPr>
          <w:p w:rsidR="00485634" w:rsidRPr="00EC3F84" w:rsidRDefault="00485634" w:rsidP="00EF2DC9">
            <w:pPr>
              <w:rPr>
                <w:rFonts w:ascii="Times New Roman" w:hAnsi="Times New Roman" w:cs="Times New Roman"/>
                <w:sz w:val="20"/>
                <w:szCs w:val="20"/>
              </w:rPr>
            </w:pPr>
            <w:r w:rsidRPr="00EC3F84">
              <w:rPr>
                <w:rFonts w:ascii="Times New Roman" w:eastAsia="Times New Roman" w:hAnsi="Times New Roman" w:cs="Times New Roman"/>
                <w:bCs/>
                <w:color w:val="373737"/>
                <w:sz w:val="20"/>
                <w:szCs w:val="20"/>
                <w:lang w:eastAsia="tr-TR"/>
              </w:rPr>
              <w:t>Öğrenci, dönem başında öğrencisi olduğu ilgili bölüme ait kaydını yenilemelidir. Ancak ders kaydı yapmasına gerek yoktur. Erasmus+ öğrencisi, gideceği Üniversiteye herhangi bir kayıt ya da harç ücreti ödemez.</w:t>
            </w:r>
          </w:p>
        </w:tc>
      </w:tr>
      <w:tr w:rsidR="00485634" w:rsidRPr="00EC3F84" w:rsidTr="00EF2DC9">
        <w:trPr>
          <w:tblCellSpacing w:w="0" w:type="dxa"/>
        </w:trPr>
        <w:tc>
          <w:tcPr>
            <w:tcW w:w="9165" w:type="dxa"/>
            <w:tcBorders>
              <w:top w:val="outset" w:sz="6" w:space="0" w:color="auto"/>
              <w:left w:val="outset" w:sz="6" w:space="0" w:color="auto"/>
              <w:bottom w:val="outset" w:sz="6" w:space="0" w:color="auto"/>
              <w:right w:val="outset" w:sz="6" w:space="0" w:color="auto"/>
            </w:tcBorders>
          </w:tcPr>
          <w:p w:rsidR="00485634" w:rsidRPr="00EC3F84" w:rsidRDefault="00485634" w:rsidP="00485634">
            <w:pPr>
              <w:numPr>
                <w:ilvl w:val="0"/>
                <w:numId w:val="2"/>
              </w:numPr>
              <w:shd w:val="clear" w:color="auto" w:fill="FFFFFF"/>
              <w:spacing w:after="0" w:line="240" w:lineRule="auto"/>
              <w:ind w:left="0"/>
              <w:rPr>
                <w:rFonts w:ascii="Times New Roman" w:eastAsia="Times New Roman" w:hAnsi="Times New Roman" w:cs="Times New Roman"/>
                <w:color w:val="373737"/>
                <w:sz w:val="20"/>
                <w:szCs w:val="20"/>
                <w:lang w:eastAsia="tr-TR"/>
              </w:rPr>
            </w:pPr>
            <w:r w:rsidRPr="00EC3F84">
              <w:rPr>
                <w:rFonts w:ascii="Times New Roman" w:eastAsia="Times New Roman" w:hAnsi="Times New Roman" w:cs="Times New Roman"/>
                <w:color w:val="373737"/>
                <w:sz w:val="20"/>
                <w:szCs w:val="20"/>
                <w:lang w:eastAsia="tr-TR"/>
              </w:rPr>
              <w:t>Öğrencilerin, başvurmayı düşündükleri üniversitelerin </w:t>
            </w:r>
            <w:r w:rsidRPr="00EC3F84">
              <w:rPr>
                <w:rFonts w:ascii="Times New Roman" w:eastAsia="Times New Roman" w:hAnsi="Times New Roman" w:cs="Times New Roman"/>
                <w:b/>
                <w:bCs/>
                <w:color w:val="373737"/>
                <w:sz w:val="20"/>
                <w:szCs w:val="20"/>
                <w:lang w:eastAsia="tr-TR"/>
              </w:rPr>
              <w:t>akademik takvimlerini </w:t>
            </w:r>
            <w:r w:rsidRPr="00EC3F84">
              <w:rPr>
                <w:rFonts w:ascii="Times New Roman" w:eastAsia="Times New Roman" w:hAnsi="Times New Roman" w:cs="Times New Roman"/>
                <w:color w:val="373737"/>
                <w:sz w:val="20"/>
                <w:szCs w:val="20"/>
                <w:lang w:eastAsia="tr-TR"/>
              </w:rPr>
              <w:t>incelemeleri gereklidir. Hem akademik takvim çakışmaları hem de bazı üniversitelerin öğrencileri belirle dönemlerde kabul etmesinden ötürü bu inceleme önem taşımaktadır.</w:t>
            </w:r>
          </w:p>
          <w:p w:rsidR="00485634" w:rsidRPr="00EC3F84" w:rsidRDefault="00485634" w:rsidP="00EF2DC9">
            <w:pPr>
              <w:rPr>
                <w:rFonts w:ascii="Times New Roman" w:eastAsia="Times New Roman" w:hAnsi="Times New Roman" w:cs="Times New Roman"/>
                <w:bCs/>
                <w:color w:val="373737"/>
                <w:sz w:val="20"/>
                <w:szCs w:val="20"/>
                <w:lang w:eastAsia="tr-TR"/>
              </w:rPr>
            </w:pPr>
          </w:p>
        </w:tc>
      </w:tr>
    </w:tbl>
    <w:p w:rsidR="00485634" w:rsidRDefault="00485634" w:rsidP="00485634">
      <w:pPr>
        <w:jc w:val="center"/>
        <w:rPr>
          <w:rFonts w:ascii="Times New Roman" w:eastAsia="Times New Roman" w:hAnsi="Times New Roman" w:cs="Times New Roman"/>
          <w:b/>
          <w:bCs/>
          <w:color w:val="373737"/>
          <w:sz w:val="20"/>
          <w:szCs w:val="20"/>
          <w:lang w:eastAsia="tr-TR"/>
        </w:rPr>
      </w:pPr>
    </w:p>
    <w:p w:rsidR="00485634" w:rsidRPr="00142C3E" w:rsidRDefault="00485634" w:rsidP="00485634">
      <w:pPr>
        <w:jc w:val="center"/>
        <w:rPr>
          <w:rFonts w:ascii="Times New Roman" w:eastAsia="Times New Roman" w:hAnsi="Times New Roman" w:cs="Times New Roman"/>
          <w:b/>
          <w:bCs/>
          <w:color w:val="373737"/>
          <w:sz w:val="24"/>
          <w:szCs w:val="24"/>
          <w:lang w:eastAsia="tr-TR"/>
        </w:rPr>
      </w:pPr>
      <w:r w:rsidRPr="00142C3E">
        <w:rPr>
          <w:rFonts w:ascii="Times New Roman" w:eastAsia="Times New Roman" w:hAnsi="Times New Roman" w:cs="Times New Roman"/>
          <w:b/>
          <w:bCs/>
          <w:color w:val="373737"/>
          <w:sz w:val="24"/>
          <w:szCs w:val="24"/>
          <w:lang w:eastAsia="tr-TR"/>
        </w:rPr>
        <w:t>KONTENJANLAR</w:t>
      </w:r>
    </w:p>
    <w:p w:rsidR="00485634" w:rsidRPr="00EC3F84" w:rsidRDefault="00485634" w:rsidP="00485634">
      <w:pPr>
        <w:rPr>
          <w:rFonts w:ascii="Times New Roman" w:hAnsi="Times New Roman" w:cs="Times New Roman"/>
          <w:sz w:val="20"/>
          <w:szCs w:val="20"/>
        </w:rPr>
      </w:pPr>
      <w:r w:rsidRPr="00EC3F84">
        <w:rPr>
          <w:rFonts w:ascii="Times New Roman" w:hAnsi="Times New Roman" w:cs="Times New Roman"/>
          <w:sz w:val="20"/>
          <w:szCs w:val="20"/>
        </w:rPr>
        <w:t xml:space="preserve">Kontenjanların akademik birimlere dağılımı Ulusal Ajans tarafından üniversitemize tahsis edilecek hibe miktarına göre belirlenmektedir. </w:t>
      </w:r>
      <w:r w:rsidRPr="00EC3F84">
        <w:rPr>
          <w:rFonts w:ascii="Times New Roman" w:eastAsia="Times New Roman" w:hAnsi="Times New Roman" w:cs="Times New Roman"/>
          <w:bCs/>
          <w:sz w:val="20"/>
          <w:szCs w:val="20"/>
          <w:lang w:eastAsia="tr-TR"/>
        </w:rPr>
        <w:t>Erasmus Öğrenim Hareketliliği için Ulusal Ajans tarafından Üniversitemize tahsis edilen bütçe belirlenene kadar, tüm başvuru sahipleri aday statüsündedir. Başvuru sahibi, seçilmiş olarak ilan edilse dahi yukarıdaki koşul sağlanıncaya değin adaydır.</w:t>
      </w:r>
    </w:p>
    <w:p w:rsidR="00485634" w:rsidRPr="00EC3F84" w:rsidRDefault="00485634" w:rsidP="00485634">
      <w:pPr>
        <w:rPr>
          <w:rFonts w:ascii="Times New Roman" w:eastAsia="Times New Roman" w:hAnsi="Times New Roman" w:cs="Times New Roman"/>
          <w:b/>
          <w:bCs/>
          <w:color w:val="FF0000"/>
          <w:sz w:val="20"/>
          <w:szCs w:val="20"/>
          <w:lang w:eastAsia="tr-TR"/>
        </w:rPr>
      </w:pPr>
      <w:r w:rsidRPr="00EC3F84">
        <w:rPr>
          <w:rFonts w:ascii="Times New Roman" w:eastAsia="Times New Roman" w:hAnsi="Times New Roman" w:cs="Times New Roman"/>
          <w:b/>
          <w:bCs/>
          <w:color w:val="FF0000"/>
          <w:sz w:val="20"/>
          <w:szCs w:val="20"/>
          <w:lang w:eastAsia="tr-TR"/>
        </w:rPr>
        <w:t>DİKKAT! Faaliyete katılmak üzere tercih edeceğiniz üniversitelerin (azami 3 tercih) Erasmus sayfalarını mutlaka inceleyiniz ve başta dil yeterliliklerine ilişkin koşullar olmak üzere, bilgi sahibi olarak tercihte bulununuz. Bu koşullarda eksik bilgi sahibi olunarak yapılacak tercihlerin sonucunda, öğrencinin karşı üniversite tarafından kabul edilmemesi veya vize alamaması gibi olası mağduriyetlerde, sorumluluk yararlanıcı adayının kendisine ait olacaktır. </w:t>
      </w:r>
    </w:p>
    <w:p w:rsidR="00485634" w:rsidRDefault="00485634" w:rsidP="00485634">
      <w:pPr>
        <w:jc w:val="center"/>
      </w:pPr>
    </w:p>
    <w:sectPr w:rsidR="004856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06F5A"/>
    <w:multiLevelType w:val="multilevel"/>
    <w:tmpl w:val="2714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4F5B6C"/>
    <w:multiLevelType w:val="hybridMultilevel"/>
    <w:tmpl w:val="68142D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7651194"/>
    <w:multiLevelType w:val="multilevel"/>
    <w:tmpl w:val="1CDED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F33"/>
    <w:rsid w:val="000605DE"/>
    <w:rsid w:val="00142C3E"/>
    <w:rsid w:val="001F479F"/>
    <w:rsid w:val="00246F7E"/>
    <w:rsid w:val="00437E09"/>
    <w:rsid w:val="00485634"/>
    <w:rsid w:val="00634E33"/>
    <w:rsid w:val="006959E6"/>
    <w:rsid w:val="007017C8"/>
    <w:rsid w:val="00705F33"/>
    <w:rsid w:val="00776D36"/>
    <w:rsid w:val="007800FB"/>
    <w:rsid w:val="00900D33"/>
    <w:rsid w:val="00987C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D1AA0"/>
  <w15:chartTrackingRefBased/>
  <w15:docId w15:val="{2781B3BC-DA2F-439B-B59E-5F984FA5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1"/>
    <w:qFormat/>
    <w:rsid w:val="00987C7E"/>
    <w:pPr>
      <w:widowControl w:val="0"/>
      <w:autoSpaceDE w:val="0"/>
      <w:autoSpaceDN w:val="0"/>
      <w:spacing w:before="83" w:after="0" w:line="240" w:lineRule="auto"/>
      <w:ind w:left="1351"/>
      <w:outlineLvl w:val="2"/>
    </w:pPr>
    <w:rPr>
      <w:rFonts w:ascii="Cambria" w:eastAsia="Cambria" w:hAnsi="Cambria" w:cs="Cambria"/>
      <w:b/>
      <w:bCs/>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1"/>
    <w:rsid w:val="00987C7E"/>
    <w:rPr>
      <w:rFonts w:ascii="Cambria" w:eastAsia="Cambria" w:hAnsi="Cambria" w:cs="Cambria"/>
      <w:b/>
      <w:bCs/>
      <w:lang w:eastAsia="tr-TR" w:bidi="tr-TR"/>
    </w:rPr>
  </w:style>
  <w:style w:type="table" w:styleId="TabloKlavuzu">
    <w:name w:val="Table Grid"/>
    <w:basedOn w:val="NormalTablo"/>
    <w:uiPriority w:val="39"/>
    <w:rsid w:val="00987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987C7E"/>
    <w:rPr>
      <w:color w:val="0563C1" w:themeColor="hyperlink"/>
      <w:u w:val="single"/>
    </w:rPr>
  </w:style>
  <w:style w:type="paragraph" w:styleId="ListeParagraf">
    <w:name w:val="List Paragraph"/>
    <w:basedOn w:val="Normal"/>
    <w:uiPriority w:val="34"/>
    <w:qFormat/>
    <w:rsid w:val="006959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asmus.subu.edu.tr/tr/icerik/0/3458/erasmus-el-kitab%C4%B1" TargetMode="External"/><Relationship Id="rId3" Type="http://schemas.openxmlformats.org/officeDocument/2006/relationships/settings" Target="settings.xml"/><Relationship Id="rId7" Type="http://schemas.openxmlformats.org/officeDocument/2006/relationships/hyperlink" Target="https://erasmus.subu.edu.tr/tr/icerik/10249/52073/ikili-anlasmalarimi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nklik.yok.gov.tr/yabanci-dil-esdegerlikleri"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rasmus.subu.edu.tr/tr/icerik/0/3458/erasmus-el-kitab%C4%B1"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1974</Words>
  <Characters>11255</Characters>
  <Application>Microsoft Office Word</Application>
  <DocSecurity>0</DocSecurity>
  <Lines>93</Lines>
  <Paragraphs>26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Sakarya University</Company>
  <LinksUpToDate>false</LinksUpToDate>
  <CharactersWithSpaces>13203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aidata</dc:creator>
  <cp:keywords/>
  <dc:description/>
  <cp:lastModifiedBy>aidata</cp:lastModifiedBy>
  <cp:revision>12</cp:revision>
  <dcterms:created xsi:type="dcterms:W3CDTF">2019-12-24T07:38:00Z</dcterms:created>
  <dcterms:modified xsi:type="dcterms:W3CDTF">2021-10-07T06:26:00Z</dcterms:modified>
</cp:coreProperties>
</file>