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FF" w:rsidRPr="006A299D" w:rsidRDefault="00FB50FF" w:rsidP="006A299D">
      <w:pPr>
        <w:jc w:val="center"/>
        <w:rPr>
          <w:b/>
          <w:sz w:val="28"/>
          <w:szCs w:val="28"/>
          <w:lang w:val="tr-TR"/>
        </w:rPr>
      </w:pPr>
      <w:r w:rsidRPr="006A299D">
        <w:rPr>
          <w:b/>
          <w:sz w:val="28"/>
          <w:szCs w:val="28"/>
          <w:lang w:val="tr-TR"/>
        </w:rPr>
        <w:t>Personel hareketliliğine ilişkin gündelik hibeler de aşağıdaki gibidir:</w:t>
      </w:r>
    </w:p>
    <w:p w:rsidR="00FB50FF" w:rsidRPr="00A75668" w:rsidRDefault="00FB50FF" w:rsidP="00FB50FF">
      <w:pPr>
        <w:rPr>
          <w:lang w:val="tr-TR"/>
        </w:rPr>
      </w:pPr>
      <w:r w:rsidRPr="00A75668">
        <w:rPr>
          <w:lang w:val="tr-TR"/>
        </w:rPr>
        <w:t> </w:t>
      </w:r>
    </w:p>
    <w:p w:rsidR="00DA698C" w:rsidRDefault="006A299D" w:rsidP="00E62DDD">
      <w:pPr>
        <w:pStyle w:val="AralkYok"/>
        <w:jc w:val="center"/>
        <w:rPr>
          <w:lang w:val="en-AU"/>
        </w:rPr>
      </w:pPr>
      <w:r>
        <w:rPr>
          <w:noProof/>
        </w:rPr>
        <w:drawing>
          <wp:inline distT="0" distB="0" distL="0" distR="0">
            <wp:extent cx="4562475" cy="244548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el Hibe Miktarları.png"/>
                    <pic:cNvPicPr/>
                  </pic:nvPicPr>
                  <pic:blipFill>
                    <a:blip r:embed="rId5">
                      <a:extLst>
                        <a:ext uri="{28A0092B-C50C-407E-A947-70E740481C1C}">
                          <a14:useLocalDpi xmlns:a14="http://schemas.microsoft.com/office/drawing/2010/main" val="0"/>
                        </a:ext>
                      </a:extLst>
                    </a:blip>
                    <a:stretch>
                      <a:fillRect/>
                    </a:stretch>
                  </pic:blipFill>
                  <pic:spPr>
                    <a:xfrm>
                      <a:off x="0" y="0"/>
                      <a:ext cx="4591291" cy="2460933"/>
                    </a:xfrm>
                    <a:prstGeom prst="rect">
                      <a:avLst/>
                    </a:prstGeom>
                  </pic:spPr>
                </pic:pic>
              </a:graphicData>
            </a:graphic>
          </wp:inline>
        </w:drawing>
      </w:r>
    </w:p>
    <w:p w:rsidR="00E62DDD" w:rsidRDefault="00E62DDD" w:rsidP="00E62DDD">
      <w:pPr>
        <w:pStyle w:val="AralkYok"/>
        <w:jc w:val="center"/>
        <w:rPr>
          <w:lang w:val="en-AU"/>
        </w:rPr>
      </w:pPr>
    </w:p>
    <w:p w:rsidR="00181ECC" w:rsidRDefault="00181ECC" w:rsidP="00181ECC">
      <w:pPr>
        <w:pStyle w:val="AralkYok"/>
        <w:jc w:val="both"/>
      </w:pPr>
      <w:r w:rsidRPr="008301B0">
        <w:rPr>
          <w:b/>
        </w:rPr>
        <w:t>NOT:</w:t>
      </w:r>
      <w:r>
        <w:t xml:space="preserve">  14 günden daha uzun süren personel hareketliliği faaliyetlerinde; 15. ve sonrası günler için;</w:t>
      </w:r>
      <w:r w:rsidR="006A299D">
        <w:t xml:space="preserve"> </w:t>
      </w:r>
      <w:r>
        <w:t>Yukarıda verilen günlük hibe miktarının %</w:t>
      </w:r>
      <w:bookmarkStart w:id="0" w:name="_GoBack"/>
      <w:bookmarkEnd w:id="0"/>
      <w:r>
        <w:t>70’i gündelik olarak esas alınmalıdır. Herhangi bir faaliyet içermeyen ya da gerçekleştirilen faaliyetin türüne uygun faaliyet yapıldığı belgelenemeyen günler için hibe ödemesi yapılmaz.</w:t>
      </w:r>
    </w:p>
    <w:p w:rsidR="00181ECC" w:rsidRDefault="00181ECC" w:rsidP="00181ECC">
      <w:pPr>
        <w:pStyle w:val="AralkYok"/>
        <w:jc w:val="both"/>
      </w:pPr>
    </w:p>
    <w:p w:rsidR="00181ECC" w:rsidRPr="006A299D" w:rsidRDefault="00181ECC" w:rsidP="006A299D">
      <w:pPr>
        <w:jc w:val="center"/>
        <w:rPr>
          <w:b/>
          <w:sz w:val="28"/>
          <w:szCs w:val="28"/>
          <w:lang w:val="tr-TR"/>
        </w:rPr>
      </w:pPr>
      <w:r w:rsidRPr="006A299D">
        <w:rPr>
          <w:b/>
          <w:sz w:val="28"/>
          <w:szCs w:val="28"/>
          <w:lang w:val="tr-TR"/>
        </w:rPr>
        <w:t>Seyahat Gideri Hesaplamaları:</w:t>
      </w:r>
    </w:p>
    <w:p w:rsidR="006D4DAA" w:rsidRDefault="006D4DAA" w:rsidP="006528E0">
      <w:pPr>
        <w:rPr>
          <w:lang w:val="tr-TR"/>
        </w:rPr>
      </w:pPr>
    </w:p>
    <w:p w:rsidR="006A299D" w:rsidRPr="006A299D" w:rsidRDefault="006A299D" w:rsidP="006A299D">
      <w:pPr>
        <w:pStyle w:val="AralkYok"/>
        <w:jc w:val="both"/>
      </w:pPr>
      <w:r w:rsidRPr="006A299D">
        <w:t>Personel hareketliliği faaliyetinden faydalanan personeline ödenecek seyahat gideri miktarı “Mesafe Hesaplayıcı” kullanılarak hesap edilmelidir. Mesafe hesaplayıcısına aşağıdaki bağlantıdan ulaşılabilmektedir:</w:t>
      </w:r>
    </w:p>
    <w:p w:rsidR="006A299D" w:rsidRPr="006A299D" w:rsidRDefault="006A299D" w:rsidP="006A299D">
      <w:pPr>
        <w:pStyle w:val="NormalWeb"/>
        <w:shd w:val="clear" w:color="auto" w:fill="FFFFFF"/>
        <w:spacing w:before="0" w:beforeAutospacing="0" w:after="150" w:afterAutospacing="0"/>
        <w:rPr>
          <w:rFonts w:ascii="Open Sans" w:hAnsi="Open Sans" w:cs="Open Sans"/>
          <w:color w:val="333333"/>
          <w:sz w:val="21"/>
          <w:szCs w:val="21"/>
          <w:lang w:val="tr-TR"/>
        </w:rPr>
      </w:pPr>
      <w:r w:rsidRPr="006A299D">
        <w:rPr>
          <w:rFonts w:ascii="Open Sans" w:hAnsi="Open Sans" w:cs="Open Sans"/>
          <w:color w:val="333333"/>
          <w:sz w:val="21"/>
          <w:szCs w:val="21"/>
          <w:lang w:val="tr-TR"/>
        </w:rPr>
        <w:br/>
      </w:r>
      <w:hyperlink r:id="rId6" w:tgtFrame="_blank" w:tooltip="https://erasmus-plus.ec.europa.eu/resources-and-tools/distance-calculator" w:history="1">
        <w:r w:rsidRPr="006A299D">
          <w:rPr>
            <w:rStyle w:val="Kpr"/>
            <w:rFonts w:ascii="Open Sans" w:hAnsi="Open Sans" w:cs="Open Sans"/>
            <w:b/>
            <w:bCs/>
            <w:i/>
            <w:iCs/>
            <w:color w:val="548DD4" w:themeColor="text2" w:themeTint="99"/>
            <w:sz w:val="21"/>
            <w:szCs w:val="21"/>
            <w:lang w:val="tr-TR"/>
          </w:rPr>
          <w:t>http://ec.europa.eu/programmes/erasmus-plus/tools/distance_en.htm</w:t>
        </w:r>
      </w:hyperlink>
    </w:p>
    <w:p w:rsidR="006A299D" w:rsidRPr="006A299D" w:rsidRDefault="006A299D" w:rsidP="006A299D">
      <w:pPr>
        <w:pStyle w:val="AralkYok"/>
        <w:jc w:val="both"/>
      </w:pPr>
      <w:r w:rsidRPr="006A299D">
        <w:rPr>
          <w:rFonts w:ascii="Open Sans" w:hAnsi="Open Sans" w:cs="Open Sans"/>
          <w:color w:val="333333"/>
          <w:sz w:val="21"/>
          <w:szCs w:val="21"/>
        </w:rPr>
        <w:br/>
      </w:r>
      <w:r w:rsidRPr="006A299D">
        <w:t>Mesafe hesaplayıcısı aracılığı ile personelin yerleşik olduğu yerden, faaliyet yerine kadar olan iki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rsidR="006A299D" w:rsidRDefault="006A299D" w:rsidP="006528E0">
      <w:pPr>
        <w:rPr>
          <w:lang w:val="tr-TR"/>
        </w:rPr>
      </w:pPr>
    </w:p>
    <w:p w:rsidR="006A299D" w:rsidRDefault="006A299D" w:rsidP="006A299D">
      <w:pPr>
        <w:jc w:val="center"/>
        <w:rPr>
          <w:lang w:val="tr-TR"/>
        </w:rPr>
      </w:pPr>
      <w:r>
        <w:rPr>
          <w:noProof/>
          <w:lang w:val="tr-TR" w:eastAsia="tr-TR"/>
        </w:rPr>
        <w:drawing>
          <wp:inline distT="0" distB="0" distL="0" distR="0">
            <wp:extent cx="5647690" cy="2152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yahat Hibe Miktarları.png"/>
                    <pic:cNvPicPr/>
                  </pic:nvPicPr>
                  <pic:blipFill>
                    <a:blip r:embed="rId7">
                      <a:extLst>
                        <a:ext uri="{28A0092B-C50C-407E-A947-70E740481C1C}">
                          <a14:useLocalDpi xmlns:a14="http://schemas.microsoft.com/office/drawing/2010/main" val="0"/>
                        </a:ext>
                      </a:extLst>
                    </a:blip>
                    <a:stretch>
                      <a:fillRect/>
                    </a:stretch>
                  </pic:blipFill>
                  <pic:spPr>
                    <a:xfrm>
                      <a:off x="0" y="0"/>
                      <a:ext cx="5666581" cy="2159850"/>
                    </a:xfrm>
                    <a:prstGeom prst="rect">
                      <a:avLst/>
                    </a:prstGeom>
                  </pic:spPr>
                </pic:pic>
              </a:graphicData>
            </a:graphic>
          </wp:inline>
        </w:drawing>
      </w:r>
    </w:p>
    <w:p w:rsidR="006A299D" w:rsidRPr="00181ECC" w:rsidRDefault="006A299D" w:rsidP="006528E0">
      <w:pPr>
        <w:rPr>
          <w:rFonts w:asciiTheme="minorHAnsi" w:hAnsiTheme="minorHAnsi" w:cs="Arial"/>
          <w:lang w:val="tr-TR"/>
        </w:rPr>
      </w:pPr>
    </w:p>
    <w:p w:rsidR="006528E0" w:rsidRPr="006528E0" w:rsidRDefault="006528E0" w:rsidP="006528E0">
      <w:pPr>
        <w:rPr>
          <w:rFonts w:eastAsia="Calibri"/>
          <w:color w:val="993366"/>
          <w:lang w:val="tr-TR" w:eastAsia="en-US"/>
        </w:rPr>
      </w:pPr>
    </w:p>
    <w:p w:rsidR="00505704" w:rsidRPr="006528E0" w:rsidRDefault="00505704">
      <w:pPr>
        <w:rPr>
          <w:lang w:val="tr-TR"/>
        </w:rPr>
      </w:pPr>
    </w:p>
    <w:sectPr w:rsidR="00505704" w:rsidRPr="006528E0" w:rsidSect="006A299D">
      <w:pgSz w:w="11906" w:h="16838"/>
      <w:pgMar w:top="1417" w:right="568"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panose1 w:val="020B0606030504020204"/>
    <w:charset w:val="A2"/>
    <w:family w:val="swiss"/>
    <w:pitch w:val="variable"/>
    <w:sig w:usb0="E00002EF"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0671"/>
    <w:multiLevelType w:val="hybridMultilevel"/>
    <w:tmpl w:val="F7143AA0"/>
    <w:lvl w:ilvl="0" w:tplc="3CCCECC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B7"/>
    <w:rsid w:val="00181ECC"/>
    <w:rsid w:val="001D30B7"/>
    <w:rsid w:val="00204553"/>
    <w:rsid w:val="0021107E"/>
    <w:rsid w:val="004602D7"/>
    <w:rsid w:val="00505704"/>
    <w:rsid w:val="006528E0"/>
    <w:rsid w:val="006A299D"/>
    <w:rsid w:val="006D4DAA"/>
    <w:rsid w:val="006E08B1"/>
    <w:rsid w:val="00717DCC"/>
    <w:rsid w:val="00A52B96"/>
    <w:rsid w:val="00A75668"/>
    <w:rsid w:val="00BE1E46"/>
    <w:rsid w:val="00D26B94"/>
    <w:rsid w:val="00D413B7"/>
    <w:rsid w:val="00DA698C"/>
    <w:rsid w:val="00E62DDD"/>
    <w:rsid w:val="00EA1150"/>
    <w:rsid w:val="00F83D70"/>
    <w:rsid w:val="00FB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36E3"/>
  <w15:docId w15:val="{894B0363-72A9-47D4-981B-E3F6EAFA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FF"/>
    <w:pPr>
      <w:spacing w:after="0" w:line="240" w:lineRule="auto"/>
    </w:pPr>
    <w:rPr>
      <w:rFonts w:ascii="Calibri" w:hAnsi="Calibri" w:cs="Times New Roman"/>
      <w:lang w:val="en-AU" w:eastAsia="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28E0"/>
    <w:rPr>
      <w:color w:val="0000FF"/>
      <w:u w:val="single"/>
    </w:rPr>
  </w:style>
  <w:style w:type="paragraph" w:styleId="BalonMetni">
    <w:name w:val="Balloon Text"/>
    <w:basedOn w:val="Normal"/>
    <w:link w:val="BalonMetniChar"/>
    <w:uiPriority w:val="99"/>
    <w:semiHidden/>
    <w:unhideWhenUsed/>
    <w:rsid w:val="006528E0"/>
    <w:rPr>
      <w:rFonts w:ascii="Tahoma" w:hAnsi="Tahoma" w:cs="Tahoma"/>
      <w:sz w:val="16"/>
      <w:szCs w:val="16"/>
    </w:rPr>
  </w:style>
  <w:style w:type="character" w:customStyle="1" w:styleId="BalonMetniChar">
    <w:name w:val="Balon Metni Char"/>
    <w:basedOn w:val="VarsaylanParagrafYazTipi"/>
    <w:link w:val="BalonMetni"/>
    <w:uiPriority w:val="99"/>
    <w:semiHidden/>
    <w:rsid w:val="006528E0"/>
    <w:rPr>
      <w:rFonts w:ascii="Tahoma" w:hAnsi="Tahoma" w:cs="Tahoma"/>
      <w:sz w:val="16"/>
      <w:szCs w:val="16"/>
      <w:lang w:val="en-AU" w:eastAsia="en-AU"/>
    </w:rPr>
  </w:style>
  <w:style w:type="paragraph" w:styleId="ListeParagraf">
    <w:name w:val="List Paragraph"/>
    <w:basedOn w:val="Normal"/>
    <w:uiPriority w:val="34"/>
    <w:qFormat/>
    <w:rsid w:val="00204553"/>
    <w:pPr>
      <w:ind w:left="720"/>
      <w:contextualSpacing/>
    </w:pPr>
  </w:style>
  <w:style w:type="paragraph" w:styleId="NormalWeb">
    <w:name w:val="Normal (Web)"/>
    <w:basedOn w:val="Normal"/>
    <w:uiPriority w:val="99"/>
    <w:unhideWhenUsed/>
    <w:rsid w:val="00D26B94"/>
    <w:pPr>
      <w:spacing w:before="100" w:beforeAutospacing="1" w:after="100" w:afterAutospacing="1"/>
    </w:pPr>
    <w:rPr>
      <w:rFonts w:ascii="Times New Roman" w:eastAsia="Times New Roman" w:hAnsi="Times New Roman"/>
      <w:sz w:val="24"/>
      <w:szCs w:val="24"/>
    </w:rPr>
  </w:style>
  <w:style w:type="paragraph" w:styleId="AralkYok">
    <w:name w:val="No Spacing"/>
    <w:uiPriority w:val="1"/>
    <w:qFormat/>
    <w:rsid w:val="00181ECC"/>
    <w:pPr>
      <w:spacing w:after="0" w:line="240" w:lineRule="auto"/>
    </w:pPr>
    <w:rPr>
      <w:rFonts w:ascii="Calibri" w:eastAsia="Calibri" w:hAnsi="Calibri" w:cs="Times New Roman"/>
      <w:lang w:eastAsia="tr-TR"/>
    </w:rPr>
  </w:style>
  <w:style w:type="character" w:styleId="Gl">
    <w:name w:val="Strong"/>
    <w:basedOn w:val="VarsaylanParagrafYazTipi"/>
    <w:uiPriority w:val="22"/>
    <w:qFormat/>
    <w:rsid w:val="006A2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6195">
      <w:bodyDiv w:val="1"/>
      <w:marLeft w:val="0"/>
      <w:marRight w:val="0"/>
      <w:marTop w:val="0"/>
      <w:marBottom w:val="0"/>
      <w:divBdr>
        <w:top w:val="none" w:sz="0" w:space="0" w:color="auto"/>
        <w:left w:val="none" w:sz="0" w:space="0" w:color="auto"/>
        <w:bottom w:val="none" w:sz="0" w:space="0" w:color="auto"/>
        <w:right w:val="none" w:sz="0" w:space="0" w:color="auto"/>
      </w:divBdr>
    </w:div>
    <w:div w:id="788166156">
      <w:bodyDiv w:val="1"/>
      <w:marLeft w:val="0"/>
      <w:marRight w:val="0"/>
      <w:marTop w:val="0"/>
      <w:marBottom w:val="0"/>
      <w:divBdr>
        <w:top w:val="none" w:sz="0" w:space="0" w:color="auto"/>
        <w:left w:val="none" w:sz="0" w:space="0" w:color="auto"/>
        <w:bottom w:val="none" w:sz="0" w:space="0" w:color="auto"/>
        <w:right w:val="none" w:sz="0" w:space="0" w:color="auto"/>
      </w:divBdr>
    </w:div>
    <w:div w:id="917445966">
      <w:bodyDiv w:val="1"/>
      <w:marLeft w:val="0"/>
      <w:marRight w:val="0"/>
      <w:marTop w:val="0"/>
      <w:marBottom w:val="0"/>
      <w:divBdr>
        <w:top w:val="none" w:sz="0" w:space="0" w:color="auto"/>
        <w:left w:val="none" w:sz="0" w:space="0" w:color="auto"/>
        <w:bottom w:val="none" w:sz="0" w:space="0" w:color="auto"/>
        <w:right w:val="none" w:sz="0" w:space="0" w:color="auto"/>
      </w:divBdr>
    </w:div>
    <w:div w:id="927814150">
      <w:bodyDiv w:val="1"/>
      <w:marLeft w:val="0"/>
      <w:marRight w:val="0"/>
      <w:marTop w:val="0"/>
      <w:marBottom w:val="0"/>
      <w:divBdr>
        <w:top w:val="none" w:sz="0" w:space="0" w:color="auto"/>
        <w:left w:val="none" w:sz="0" w:space="0" w:color="auto"/>
        <w:bottom w:val="none" w:sz="0" w:space="0" w:color="auto"/>
        <w:right w:val="none" w:sz="0" w:space="0" w:color="auto"/>
      </w:divBdr>
    </w:div>
    <w:div w:id="1630552362">
      <w:bodyDiv w:val="1"/>
      <w:marLeft w:val="0"/>
      <w:marRight w:val="0"/>
      <w:marTop w:val="0"/>
      <w:marBottom w:val="0"/>
      <w:divBdr>
        <w:top w:val="none" w:sz="0" w:space="0" w:color="auto"/>
        <w:left w:val="none" w:sz="0" w:space="0" w:color="auto"/>
        <w:bottom w:val="none" w:sz="0" w:space="0" w:color="auto"/>
        <w:right w:val="none" w:sz="0" w:space="0" w:color="auto"/>
      </w:divBdr>
    </w:div>
    <w:div w:id="1880239174">
      <w:bodyDiv w:val="1"/>
      <w:marLeft w:val="0"/>
      <w:marRight w:val="0"/>
      <w:marTop w:val="0"/>
      <w:marBottom w:val="0"/>
      <w:divBdr>
        <w:top w:val="none" w:sz="0" w:space="0" w:color="auto"/>
        <w:left w:val="none" w:sz="0" w:space="0" w:color="auto"/>
        <w:bottom w:val="none" w:sz="0" w:space="0" w:color="auto"/>
        <w:right w:val="none" w:sz="0" w:space="0" w:color="auto"/>
      </w:divBdr>
    </w:div>
    <w:div w:id="19061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lus.ec.europa.eu/resources-and-tools/distance-calculato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dc:creator>
  <cp:lastModifiedBy>aidata</cp:lastModifiedBy>
  <cp:revision>8</cp:revision>
  <dcterms:created xsi:type="dcterms:W3CDTF">2018-12-17T10:38:00Z</dcterms:created>
  <dcterms:modified xsi:type="dcterms:W3CDTF">2022-01-07T12:58:00Z</dcterms:modified>
</cp:coreProperties>
</file>