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7C8" w:rsidRDefault="00987C7E" w:rsidP="00987C7E">
      <w:pPr>
        <w:jc w:val="center"/>
      </w:pPr>
      <w:r>
        <w:rPr>
          <w:rFonts w:ascii="Times New Roman" w:hAnsi="Times New Roman" w:cs="Times New Roman"/>
          <w:noProof/>
          <w:sz w:val="28"/>
          <w:szCs w:val="28"/>
          <w:lang w:eastAsia="tr-TR"/>
        </w:rPr>
        <w:drawing>
          <wp:inline distT="0" distB="0" distL="0" distR="0" wp14:anchorId="54CDF5EF" wp14:editId="7C60A4EB">
            <wp:extent cx="2926780" cy="1074347"/>
            <wp:effectExtent l="0" t="0" r="0" b="0"/>
            <wp:docPr id="1" name="Resim 1" descr="C:\Users\pc\AppData\Local\Microsoft\Windows\INetCache\Content.Word\Sub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c\AppData\Local\Microsoft\Windows\INetCache\Content.Word\Subu_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82634" cy="1094850"/>
                    </a:xfrm>
                    <a:prstGeom prst="rect">
                      <a:avLst/>
                    </a:prstGeom>
                    <a:noFill/>
                    <a:ln>
                      <a:noFill/>
                    </a:ln>
                  </pic:spPr>
                </pic:pic>
              </a:graphicData>
            </a:graphic>
          </wp:inline>
        </w:drawing>
      </w:r>
    </w:p>
    <w:p w:rsidR="00987C7E" w:rsidRPr="009041DA" w:rsidRDefault="00987C7E" w:rsidP="00987C7E">
      <w:pPr>
        <w:pStyle w:val="Balk3"/>
        <w:ind w:left="426"/>
        <w:jc w:val="center"/>
        <w:rPr>
          <w:rFonts w:ascii="Times New Roman" w:hAnsi="Times New Roman" w:cs="Times New Roman"/>
          <w:sz w:val="40"/>
          <w:szCs w:val="40"/>
        </w:rPr>
      </w:pPr>
      <w:r w:rsidRPr="009041DA">
        <w:rPr>
          <w:rFonts w:ascii="Times New Roman" w:hAnsi="Times New Roman" w:cs="Times New Roman"/>
          <w:sz w:val="40"/>
          <w:szCs w:val="40"/>
        </w:rPr>
        <w:t xml:space="preserve">Erasmus+ </w:t>
      </w:r>
    </w:p>
    <w:p w:rsidR="00142C3E" w:rsidRPr="009041DA" w:rsidRDefault="00987C7E" w:rsidP="00142C3E">
      <w:pPr>
        <w:pStyle w:val="Balk3"/>
        <w:ind w:left="426"/>
        <w:jc w:val="center"/>
        <w:rPr>
          <w:rFonts w:ascii="Times New Roman" w:hAnsi="Times New Roman" w:cs="Times New Roman"/>
          <w:i/>
          <w:sz w:val="32"/>
          <w:szCs w:val="32"/>
          <w:u w:val="single"/>
        </w:rPr>
      </w:pPr>
      <w:r>
        <w:rPr>
          <w:rFonts w:ascii="Times New Roman" w:hAnsi="Times New Roman" w:cs="Times New Roman"/>
          <w:i/>
          <w:sz w:val="32"/>
          <w:szCs w:val="32"/>
          <w:u w:val="single"/>
        </w:rPr>
        <w:t xml:space="preserve">Öğrenci; Staj </w:t>
      </w:r>
      <w:r w:rsidRPr="009041DA">
        <w:rPr>
          <w:rFonts w:ascii="Times New Roman" w:hAnsi="Times New Roman" w:cs="Times New Roman"/>
          <w:i/>
          <w:sz w:val="32"/>
          <w:szCs w:val="32"/>
          <w:u w:val="single"/>
        </w:rPr>
        <w:t>Hareketliliği</w:t>
      </w:r>
      <w:r w:rsidR="00142C3E">
        <w:rPr>
          <w:rFonts w:ascii="Times New Roman" w:hAnsi="Times New Roman" w:cs="Times New Roman"/>
          <w:i/>
          <w:sz w:val="32"/>
          <w:szCs w:val="32"/>
          <w:u w:val="single"/>
        </w:rPr>
        <w:t xml:space="preserve"> </w:t>
      </w:r>
      <w:r w:rsidR="002628EB">
        <w:rPr>
          <w:rFonts w:ascii="Times New Roman" w:hAnsi="Times New Roman" w:cs="Times New Roman"/>
          <w:i/>
          <w:sz w:val="32"/>
          <w:szCs w:val="32"/>
          <w:u w:val="single"/>
        </w:rPr>
        <w:t>İlanı</w:t>
      </w:r>
    </w:p>
    <w:p w:rsidR="00987C7E" w:rsidRDefault="00987C7E" w:rsidP="00987C7E"/>
    <w:p w:rsidR="00987C7E" w:rsidRPr="00EC3F84" w:rsidRDefault="00987C7E" w:rsidP="00987C7E">
      <w:pPr>
        <w:jc w:val="center"/>
        <w:rPr>
          <w:rFonts w:ascii="Times New Roman" w:eastAsia="Times New Roman" w:hAnsi="Times New Roman" w:cs="Times New Roman"/>
          <w:b/>
          <w:bCs/>
          <w:color w:val="373737"/>
          <w:sz w:val="24"/>
          <w:szCs w:val="24"/>
          <w:lang w:eastAsia="tr-TR"/>
        </w:rPr>
      </w:pPr>
      <w:r w:rsidRPr="00EC3F84">
        <w:rPr>
          <w:rFonts w:ascii="Times New Roman" w:eastAsia="Times New Roman" w:hAnsi="Times New Roman" w:cs="Times New Roman"/>
          <w:b/>
          <w:bCs/>
          <w:color w:val="373737"/>
          <w:sz w:val="24"/>
          <w:szCs w:val="24"/>
          <w:lang w:eastAsia="tr-TR"/>
        </w:rPr>
        <w:t>ERASMUS+ STAJ HAREKETLİLİĞİ BAŞVURU KOŞULLARI</w:t>
      </w:r>
    </w:p>
    <w:p w:rsidR="00987C7E" w:rsidRPr="00EC3F84" w:rsidRDefault="00987C7E" w:rsidP="00B81B20">
      <w:pPr>
        <w:jc w:val="both"/>
        <w:rPr>
          <w:rFonts w:ascii="Times New Roman" w:eastAsia="Times New Roman" w:hAnsi="Times New Roman" w:cs="Times New Roman"/>
          <w:bCs/>
          <w:color w:val="373737"/>
          <w:sz w:val="20"/>
          <w:szCs w:val="20"/>
          <w:lang w:eastAsia="tr-TR"/>
        </w:rPr>
      </w:pPr>
      <w:r w:rsidRPr="00EC3F84">
        <w:rPr>
          <w:rFonts w:ascii="Times New Roman" w:eastAsia="Times New Roman" w:hAnsi="Times New Roman" w:cs="Times New Roman"/>
          <w:bCs/>
          <w:color w:val="373737"/>
          <w:sz w:val="20"/>
          <w:szCs w:val="20"/>
          <w:lang w:eastAsia="tr-TR"/>
        </w:rPr>
        <w:t xml:space="preserve">1. </w:t>
      </w:r>
      <w:r w:rsidR="002628EB" w:rsidRPr="00EC3F84">
        <w:rPr>
          <w:rFonts w:ascii="Times New Roman" w:eastAsia="Times New Roman" w:hAnsi="Times New Roman" w:cs="Times New Roman"/>
          <w:bCs/>
          <w:color w:val="373737"/>
          <w:sz w:val="20"/>
          <w:szCs w:val="20"/>
          <w:lang w:eastAsia="tr-TR"/>
        </w:rPr>
        <w:t xml:space="preserve">Sakarya Uygulamalı Bilimler Üniversitesi’ne kayıtlı öğrenci olmak </w:t>
      </w:r>
      <w:r w:rsidR="002628EB">
        <w:rPr>
          <w:rFonts w:ascii="Times New Roman" w:eastAsia="Times New Roman" w:hAnsi="Times New Roman" w:cs="Times New Roman"/>
          <w:bCs/>
          <w:color w:val="373737"/>
          <w:sz w:val="20"/>
          <w:szCs w:val="20"/>
          <w:lang w:eastAsia="tr-TR"/>
        </w:rPr>
        <w:t xml:space="preserve">ve örgün eğitimde okuyor olmak </w:t>
      </w:r>
      <w:r w:rsidR="002628EB" w:rsidRPr="00EC3F84">
        <w:rPr>
          <w:rFonts w:ascii="Times New Roman" w:eastAsia="Times New Roman" w:hAnsi="Times New Roman" w:cs="Times New Roman"/>
          <w:bCs/>
          <w:color w:val="373737"/>
          <w:sz w:val="20"/>
          <w:szCs w:val="20"/>
          <w:lang w:eastAsia="tr-TR"/>
        </w:rPr>
        <w:t>(ön lisans, lisans, lisansüstü),</w:t>
      </w:r>
    </w:p>
    <w:p w:rsidR="00987C7E" w:rsidRPr="00EC3F84" w:rsidRDefault="00987C7E" w:rsidP="00B81B20">
      <w:pPr>
        <w:jc w:val="both"/>
        <w:rPr>
          <w:rFonts w:ascii="Times New Roman" w:eastAsia="Times New Roman" w:hAnsi="Times New Roman" w:cs="Times New Roman"/>
          <w:bCs/>
          <w:color w:val="373737"/>
          <w:sz w:val="20"/>
          <w:szCs w:val="20"/>
          <w:lang w:eastAsia="tr-TR"/>
        </w:rPr>
      </w:pPr>
      <w:r w:rsidRPr="00EC3F84">
        <w:rPr>
          <w:rFonts w:ascii="Times New Roman" w:eastAsia="Times New Roman" w:hAnsi="Times New Roman" w:cs="Times New Roman"/>
          <w:bCs/>
          <w:color w:val="373737"/>
          <w:sz w:val="20"/>
          <w:szCs w:val="20"/>
          <w:lang w:eastAsia="tr-TR"/>
        </w:rPr>
        <w:t xml:space="preserve">2. </w:t>
      </w:r>
      <w:r w:rsidR="002628EB" w:rsidRPr="00EC3F84">
        <w:rPr>
          <w:rFonts w:ascii="Times New Roman" w:eastAsia="Times New Roman" w:hAnsi="Times New Roman" w:cs="Times New Roman"/>
          <w:bCs/>
          <w:color w:val="373737"/>
          <w:sz w:val="20"/>
          <w:szCs w:val="20"/>
          <w:lang w:eastAsia="tr-TR"/>
        </w:rPr>
        <w:t>En az bir ders dönemini tamamlamış olmak</w:t>
      </w:r>
      <w:r w:rsidR="002628EB">
        <w:rPr>
          <w:rFonts w:ascii="Times New Roman" w:eastAsia="Times New Roman" w:hAnsi="Times New Roman" w:cs="Times New Roman"/>
          <w:bCs/>
          <w:color w:val="373737"/>
          <w:sz w:val="20"/>
          <w:szCs w:val="20"/>
          <w:lang w:eastAsia="tr-TR"/>
        </w:rPr>
        <w:t>,</w:t>
      </w:r>
      <w:r w:rsidR="002628EB" w:rsidRPr="00EC3F84">
        <w:rPr>
          <w:rFonts w:ascii="Times New Roman" w:eastAsia="Times New Roman" w:hAnsi="Times New Roman" w:cs="Times New Roman"/>
          <w:bCs/>
          <w:color w:val="373737"/>
          <w:sz w:val="20"/>
          <w:szCs w:val="20"/>
          <w:lang w:eastAsia="tr-TR"/>
        </w:rPr>
        <w:t xml:space="preserve"> (Hazırlık Sınıfı ö</w:t>
      </w:r>
      <w:r w:rsidR="002628EB">
        <w:rPr>
          <w:rFonts w:ascii="Times New Roman" w:eastAsia="Times New Roman" w:hAnsi="Times New Roman" w:cs="Times New Roman"/>
          <w:bCs/>
          <w:color w:val="373737"/>
          <w:sz w:val="20"/>
          <w:szCs w:val="20"/>
          <w:lang w:eastAsia="tr-TR"/>
        </w:rPr>
        <w:t>ğrencileri başvuruda bulunamaz</w:t>
      </w:r>
      <w:r w:rsidR="002628EB" w:rsidRPr="00EC3F84">
        <w:rPr>
          <w:rFonts w:ascii="Times New Roman" w:eastAsia="Times New Roman" w:hAnsi="Times New Roman" w:cs="Times New Roman"/>
          <w:bCs/>
          <w:color w:val="373737"/>
          <w:sz w:val="20"/>
          <w:szCs w:val="20"/>
          <w:lang w:eastAsia="tr-TR"/>
        </w:rPr>
        <w:t xml:space="preserve">. </w:t>
      </w:r>
      <w:r w:rsidR="002628EB">
        <w:rPr>
          <w:rFonts w:ascii="Times New Roman" w:eastAsia="Times New Roman" w:hAnsi="Times New Roman" w:cs="Times New Roman"/>
          <w:bCs/>
          <w:color w:val="373737"/>
          <w:sz w:val="20"/>
          <w:szCs w:val="20"/>
          <w:lang w:eastAsia="tr-TR"/>
        </w:rPr>
        <w:t>Birinci sınıfta</w:t>
      </w:r>
      <w:r w:rsidR="002628EB" w:rsidRPr="00EC3F84">
        <w:rPr>
          <w:rFonts w:ascii="Times New Roman" w:eastAsia="Times New Roman" w:hAnsi="Times New Roman" w:cs="Times New Roman"/>
          <w:bCs/>
          <w:color w:val="373737"/>
          <w:sz w:val="20"/>
          <w:szCs w:val="20"/>
          <w:lang w:eastAsia="tr-TR"/>
        </w:rPr>
        <w:t xml:space="preserve"> okuyan öğrenciler</w:t>
      </w:r>
      <w:r w:rsidR="002628EB">
        <w:rPr>
          <w:rFonts w:ascii="Times New Roman" w:eastAsia="Times New Roman" w:hAnsi="Times New Roman" w:cs="Times New Roman"/>
          <w:bCs/>
          <w:color w:val="373737"/>
          <w:sz w:val="20"/>
          <w:szCs w:val="20"/>
          <w:lang w:eastAsia="tr-TR"/>
        </w:rPr>
        <w:t>in</w:t>
      </w:r>
      <w:r w:rsidR="002628EB" w:rsidRPr="00EC3F84">
        <w:rPr>
          <w:rFonts w:ascii="Times New Roman" w:eastAsia="Times New Roman" w:hAnsi="Times New Roman" w:cs="Times New Roman"/>
          <w:bCs/>
          <w:color w:val="373737"/>
          <w:sz w:val="20"/>
          <w:szCs w:val="20"/>
          <w:lang w:eastAsia="tr-TR"/>
        </w:rPr>
        <w:t xml:space="preserve"> </w:t>
      </w:r>
      <w:r w:rsidR="002628EB">
        <w:rPr>
          <w:rFonts w:ascii="Times New Roman" w:eastAsia="Times New Roman" w:hAnsi="Times New Roman" w:cs="Times New Roman"/>
          <w:bCs/>
          <w:color w:val="373737"/>
          <w:sz w:val="20"/>
          <w:szCs w:val="20"/>
          <w:lang w:eastAsia="tr-TR"/>
        </w:rPr>
        <w:t>başvuru yapmasında bir sakınca bulunmamaktadır.)</w:t>
      </w:r>
    </w:p>
    <w:p w:rsidR="00987C7E" w:rsidRPr="00EC3F84" w:rsidRDefault="00987C7E" w:rsidP="00987C7E">
      <w:pPr>
        <w:rPr>
          <w:rFonts w:ascii="Times New Roman" w:eastAsia="Times New Roman" w:hAnsi="Times New Roman" w:cs="Times New Roman"/>
          <w:bCs/>
          <w:color w:val="373737"/>
          <w:sz w:val="20"/>
          <w:szCs w:val="20"/>
          <w:lang w:eastAsia="tr-TR"/>
        </w:rPr>
      </w:pPr>
      <w:r w:rsidRPr="00EC3F84">
        <w:rPr>
          <w:rFonts w:ascii="Times New Roman" w:eastAsia="Times New Roman" w:hAnsi="Times New Roman" w:cs="Times New Roman"/>
          <w:bCs/>
          <w:color w:val="373737"/>
          <w:sz w:val="20"/>
          <w:szCs w:val="20"/>
          <w:lang w:eastAsia="tr-TR"/>
        </w:rPr>
        <w:t>3.</w:t>
      </w:r>
    </w:p>
    <w:tbl>
      <w:tblPr>
        <w:tblStyle w:val="TabloKlavuzu"/>
        <w:tblW w:w="9351" w:type="dxa"/>
        <w:tblLook w:val="04A0" w:firstRow="1" w:lastRow="0" w:firstColumn="1" w:lastColumn="0" w:noHBand="0" w:noVBand="1"/>
      </w:tblPr>
      <w:tblGrid>
        <w:gridCol w:w="5382"/>
        <w:gridCol w:w="3969"/>
      </w:tblGrid>
      <w:tr w:rsidR="002628EB" w:rsidRPr="00EC3F84" w:rsidTr="002628EB">
        <w:tc>
          <w:tcPr>
            <w:tcW w:w="5382" w:type="dxa"/>
          </w:tcPr>
          <w:p w:rsidR="002628EB" w:rsidRPr="00EC3F84" w:rsidRDefault="002628EB" w:rsidP="00ED4BC2">
            <w:pPr>
              <w:spacing w:after="160" w:line="259" w:lineRule="auto"/>
              <w:jc w:val="center"/>
              <w:rPr>
                <w:rFonts w:ascii="Times New Roman" w:eastAsia="Times New Roman" w:hAnsi="Times New Roman" w:cs="Times New Roman"/>
                <w:bCs/>
                <w:color w:val="373737"/>
                <w:sz w:val="20"/>
                <w:szCs w:val="20"/>
                <w:lang w:eastAsia="tr-TR"/>
              </w:rPr>
            </w:pPr>
            <w:r w:rsidRPr="00F02EC1">
              <w:rPr>
                <w:rFonts w:ascii="Times New Roman" w:eastAsia="Times New Roman" w:hAnsi="Times New Roman" w:cs="Times New Roman"/>
                <w:b/>
                <w:bCs/>
                <w:color w:val="373737"/>
                <w:sz w:val="20"/>
                <w:szCs w:val="20"/>
                <w:lang w:eastAsia="tr-TR"/>
              </w:rPr>
              <w:t>Ön lisans ve lisans</w:t>
            </w:r>
            <w:r w:rsidRPr="00EC3F84">
              <w:rPr>
                <w:rFonts w:ascii="Times New Roman" w:eastAsia="Times New Roman" w:hAnsi="Times New Roman" w:cs="Times New Roman"/>
                <w:bCs/>
                <w:color w:val="373737"/>
                <w:sz w:val="20"/>
                <w:szCs w:val="20"/>
                <w:lang w:eastAsia="tr-TR"/>
              </w:rPr>
              <w:t xml:space="preserve"> öğrencileri için</w:t>
            </w:r>
            <w:r>
              <w:rPr>
                <w:rFonts w:ascii="Times New Roman" w:eastAsia="Times New Roman" w:hAnsi="Times New Roman" w:cs="Times New Roman"/>
                <w:bCs/>
                <w:color w:val="373737"/>
                <w:sz w:val="20"/>
                <w:szCs w:val="20"/>
                <w:lang w:eastAsia="tr-TR"/>
              </w:rPr>
              <w:t>,</w:t>
            </w:r>
          </w:p>
        </w:tc>
        <w:tc>
          <w:tcPr>
            <w:tcW w:w="3969" w:type="dxa"/>
          </w:tcPr>
          <w:p w:rsidR="002628EB" w:rsidRPr="00EC3F84" w:rsidRDefault="002628EB" w:rsidP="00ED4BC2">
            <w:pPr>
              <w:spacing w:after="160" w:line="259" w:lineRule="auto"/>
              <w:rPr>
                <w:rFonts w:ascii="Times New Roman" w:eastAsia="Times New Roman" w:hAnsi="Times New Roman" w:cs="Times New Roman"/>
                <w:bCs/>
                <w:color w:val="373737"/>
                <w:sz w:val="20"/>
                <w:szCs w:val="20"/>
                <w:lang w:eastAsia="tr-TR"/>
              </w:rPr>
            </w:pPr>
            <w:r>
              <w:rPr>
                <w:rFonts w:ascii="Times New Roman" w:eastAsia="Times New Roman" w:hAnsi="Times New Roman" w:cs="Times New Roman"/>
                <w:bCs/>
                <w:color w:val="373737"/>
                <w:sz w:val="20"/>
                <w:szCs w:val="20"/>
                <w:lang w:eastAsia="tr-TR"/>
              </w:rPr>
              <w:t xml:space="preserve"> Genel </w:t>
            </w:r>
            <w:r w:rsidRPr="00EC3F84">
              <w:rPr>
                <w:rFonts w:ascii="Times New Roman" w:eastAsia="Times New Roman" w:hAnsi="Times New Roman" w:cs="Times New Roman"/>
                <w:bCs/>
                <w:color w:val="373737"/>
                <w:sz w:val="20"/>
                <w:szCs w:val="20"/>
                <w:lang w:eastAsia="tr-TR"/>
              </w:rPr>
              <w:t>akademik not</w:t>
            </w:r>
            <w:r>
              <w:rPr>
                <w:rFonts w:ascii="Times New Roman" w:eastAsia="Times New Roman" w:hAnsi="Times New Roman" w:cs="Times New Roman"/>
                <w:bCs/>
                <w:color w:val="373737"/>
                <w:sz w:val="20"/>
                <w:szCs w:val="20"/>
                <w:lang w:eastAsia="tr-TR"/>
              </w:rPr>
              <w:t xml:space="preserve"> ortalaması </w:t>
            </w:r>
            <w:r w:rsidRPr="00F02EC1">
              <w:rPr>
                <w:rFonts w:ascii="Times New Roman" w:eastAsia="Times New Roman" w:hAnsi="Times New Roman" w:cs="Times New Roman"/>
                <w:b/>
                <w:bCs/>
                <w:color w:val="373737"/>
                <w:sz w:val="20"/>
                <w:szCs w:val="20"/>
                <w:lang w:eastAsia="tr-TR"/>
              </w:rPr>
              <w:t>en az 2.20</w:t>
            </w:r>
          </w:p>
        </w:tc>
      </w:tr>
      <w:tr w:rsidR="002628EB" w:rsidRPr="00EC3F84" w:rsidTr="002628EB">
        <w:tc>
          <w:tcPr>
            <w:tcW w:w="5382" w:type="dxa"/>
          </w:tcPr>
          <w:p w:rsidR="002628EB" w:rsidRPr="00EC3F84" w:rsidRDefault="002628EB" w:rsidP="00ED4BC2">
            <w:pPr>
              <w:spacing w:after="160" w:line="259" w:lineRule="auto"/>
              <w:jc w:val="center"/>
              <w:rPr>
                <w:rFonts w:ascii="Times New Roman" w:eastAsia="Times New Roman" w:hAnsi="Times New Roman" w:cs="Times New Roman"/>
                <w:bCs/>
                <w:color w:val="373737"/>
                <w:sz w:val="20"/>
                <w:szCs w:val="20"/>
                <w:lang w:eastAsia="tr-TR"/>
              </w:rPr>
            </w:pPr>
            <w:r w:rsidRPr="00EC3F84">
              <w:rPr>
                <w:rFonts w:ascii="Times New Roman" w:eastAsia="Times New Roman" w:hAnsi="Times New Roman" w:cs="Times New Roman"/>
                <w:bCs/>
                <w:color w:val="373737"/>
                <w:sz w:val="20"/>
                <w:szCs w:val="20"/>
                <w:lang w:eastAsia="tr-TR"/>
              </w:rPr>
              <w:t xml:space="preserve">Lisansüstü </w:t>
            </w:r>
            <w:r w:rsidRPr="00F02EC1">
              <w:rPr>
                <w:rFonts w:ascii="Times New Roman" w:eastAsia="Times New Roman" w:hAnsi="Times New Roman" w:cs="Times New Roman"/>
                <w:b/>
                <w:bCs/>
                <w:color w:val="373737"/>
                <w:sz w:val="20"/>
                <w:szCs w:val="20"/>
                <w:lang w:eastAsia="tr-TR"/>
              </w:rPr>
              <w:t>(Yüksek Lisans/Doktora)</w:t>
            </w:r>
            <w:r w:rsidRPr="00EC3F84">
              <w:rPr>
                <w:rFonts w:ascii="Times New Roman" w:eastAsia="Times New Roman" w:hAnsi="Times New Roman" w:cs="Times New Roman"/>
                <w:bCs/>
                <w:color w:val="373737"/>
                <w:sz w:val="20"/>
                <w:szCs w:val="20"/>
                <w:lang w:eastAsia="tr-TR"/>
              </w:rPr>
              <w:t xml:space="preserve"> öğrencileri için</w:t>
            </w:r>
          </w:p>
        </w:tc>
        <w:tc>
          <w:tcPr>
            <w:tcW w:w="3969" w:type="dxa"/>
          </w:tcPr>
          <w:p w:rsidR="002628EB" w:rsidRPr="00EC3F84" w:rsidRDefault="002628EB" w:rsidP="00ED4BC2">
            <w:pPr>
              <w:spacing w:after="160" w:line="259" w:lineRule="auto"/>
              <w:rPr>
                <w:rFonts w:ascii="Times New Roman" w:eastAsia="Times New Roman" w:hAnsi="Times New Roman" w:cs="Times New Roman"/>
                <w:bCs/>
                <w:color w:val="373737"/>
                <w:sz w:val="20"/>
                <w:szCs w:val="20"/>
                <w:lang w:eastAsia="tr-TR"/>
              </w:rPr>
            </w:pPr>
            <w:r>
              <w:rPr>
                <w:rFonts w:ascii="Times New Roman" w:eastAsia="Times New Roman" w:hAnsi="Times New Roman" w:cs="Times New Roman"/>
                <w:bCs/>
                <w:color w:val="373737"/>
                <w:sz w:val="20"/>
                <w:szCs w:val="20"/>
                <w:lang w:eastAsia="tr-TR"/>
              </w:rPr>
              <w:t xml:space="preserve"> Genel </w:t>
            </w:r>
            <w:r w:rsidRPr="00EC3F84">
              <w:rPr>
                <w:rFonts w:ascii="Times New Roman" w:eastAsia="Times New Roman" w:hAnsi="Times New Roman" w:cs="Times New Roman"/>
                <w:bCs/>
                <w:color w:val="373737"/>
                <w:sz w:val="20"/>
                <w:szCs w:val="20"/>
                <w:lang w:eastAsia="tr-TR"/>
              </w:rPr>
              <w:t>akademik not</w:t>
            </w:r>
            <w:r>
              <w:rPr>
                <w:rFonts w:ascii="Times New Roman" w:eastAsia="Times New Roman" w:hAnsi="Times New Roman" w:cs="Times New Roman"/>
                <w:bCs/>
                <w:color w:val="373737"/>
                <w:sz w:val="20"/>
                <w:szCs w:val="20"/>
                <w:lang w:eastAsia="tr-TR"/>
              </w:rPr>
              <w:t xml:space="preserve"> ortalaması </w:t>
            </w:r>
            <w:r w:rsidRPr="00F02EC1">
              <w:rPr>
                <w:rFonts w:ascii="Times New Roman" w:eastAsia="Times New Roman" w:hAnsi="Times New Roman" w:cs="Times New Roman"/>
                <w:b/>
                <w:bCs/>
                <w:color w:val="373737"/>
                <w:sz w:val="20"/>
                <w:szCs w:val="20"/>
                <w:lang w:eastAsia="tr-TR"/>
              </w:rPr>
              <w:t>en az 2.50</w:t>
            </w:r>
          </w:p>
        </w:tc>
      </w:tr>
      <w:tr w:rsidR="002628EB" w:rsidRPr="00EC3F84" w:rsidTr="002628EB">
        <w:trPr>
          <w:trHeight w:val="496"/>
        </w:trPr>
        <w:tc>
          <w:tcPr>
            <w:tcW w:w="5382" w:type="dxa"/>
          </w:tcPr>
          <w:p w:rsidR="002628EB" w:rsidRPr="00EC3F84" w:rsidRDefault="002628EB" w:rsidP="00ED4BC2">
            <w:pPr>
              <w:jc w:val="center"/>
              <w:rPr>
                <w:rFonts w:ascii="Times New Roman" w:eastAsia="Times New Roman" w:hAnsi="Times New Roman" w:cs="Times New Roman"/>
                <w:bCs/>
                <w:color w:val="373737"/>
                <w:sz w:val="20"/>
                <w:szCs w:val="20"/>
                <w:lang w:eastAsia="tr-TR"/>
              </w:rPr>
            </w:pPr>
            <w:r w:rsidRPr="00F02EC1">
              <w:rPr>
                <w:rFonts w:ascii="Times New Roman" w:eastAsia="Times New Roman" w:hAnsi="Times New Roman" w:cs="Times New Roman"/>
                <w:bCs/>
                <w:color w:val="373737"/>
                <w:sz w:val="20"/>
                <w:szCs w:val="20"/>
                <w:lang w:eastAsia="tr-TR"/>
              </w:rPr>
              <w:t xml:space="preserve">Başvuru aşamasında </w:t>
            </w:r>
            <w:r w:rsidRPr="00F02EC1">
              <w:rPr>
                <w:rFonts w:ascii="Times New Roman" w:eastAsia="Times New Roman" w:hAnsi="Times New Roman" w:cs="Times New Roman"/>
                <w:b/>
                <w:bCs/>
                <w:color w:val="373737"/>
                <w:sz w:val="20"/>
                <w:szCs w:val="20"/>
                <w:lang w:eastAsia="tr-TR"/>
              </w:rPr>
              <w:t>henüz transkripti oluşmamış birinci sınıf</w:t>
            </w:r>
            <w:r>
              <w:rPr>
                <w:rFonts w:ascii="Times New Roman" w:eastAsia="Times New Roman" w:hAnsi="Times New Roman" w:cs="Times New Roman"/>
                <w:bCs/>
                <w:color w:val="373737"/>
                <w:sz w:val="20"/>
                <w:szCs w:val="20"/>
                <w:lang w:eastAsia="tr-TR"/>
              </w:rPr>
              <w:t xml:space="preserve"> öğrencileri için</w:t>
            </w:r>
          </w:p>
        </w:tc>
        <w:tc>
          <w:tcPr>
            <w:tcW w:w="3969" w:type="dxa"/>
          </w:tcPr>
          <w:p w:rsidR="002628EB" w:rsidRDefault="002628EB" w:rsidP="00ED4BC2">
            <w:pPr>
              <w:rPr>
                <w:rFonts w:ascii="Times New Roman" w:eastAsia="Times New Roman" w:hAnsi="Times New Roman" w:cs="Times New Roman"/>
                <w:bCs/>
                <w:color w:val="373737"/>
                <w:sz w:val="20"/>
                <w:szCs w:val="20"/>
                <w:lang w:eastAsia="tr-TR"/>
              </w:rPr>
            </w:pPr>
            <w:r>
              <w:rPr>
                <w:rFonts w:ascii="Times New Roman" w:eastAsia="Times New Roman" w:hAnsi="Times New Roman" w:cs="Times New Roman"/>
                <w:bCs/>
                <w:color w:val="373737"/>
                <w:sz w:val="20"/>
                <w:szCs w:val="20"/>
                <w:lang w:eastAsia="tr-TR"/>
              </w:rPr>
              <w:t xml:space="preserve"> L</w:t>
            </w:r>
            <w:r w:rsidRPr="00F02EC1">
              <w:rPr>
                <w:rFonts w:ascii="Times New Roman" w:eastAsia="Times New Roman" w:hAnsi="Times New Roman" w:cs="Times New Roman"/>
                <w:bCs/>
                <w:color w:val="373737"/>
                <w:sz w:val="20"/>
                <w:szCs w:val="20"/>
                <w:lang w:eastAsia="tr-TR"/>
              </w:rPr>
              <w:t xml:space="preserve">ise mezuniyet notunun en az </w:t>
            </w:r>
            <w:r w:rsidRPr="00F02EC1">
              <w:rPr>
                <w:rFonts w:ascii="Times New Roman" w:eastAsia="Times New Roman" w:hAnsi="Times New Roman" w:cs="Times New Roman"/>
                <w:b/>
                <w:bCs/>
                <w:color w:val="373737"/>
                <w:sz w:val="20"/>
                <w:szCs w:val="20"/>
                <w:lang w:eastAsia="tr-TR"/>
              </w:rPr>
              <w:t>75/100</w:t>
            </w:r>
          </w:p>
        </w:tc>
      </w:tr>
      <w:tr w:rsidR="002628EB" w:rsidRPr="00EC3F84" w:rsidTr="002628EB">
        <w:trPr>
          <w:trHeight w:val="354"/>
        </w:trPr>
        <w:tc>
          <w:tcPr>
            <w:tcW w:w="5382" w:type="dxa"/>
          </w:tcPr>
          <w:p w:rsidR="002628EB" w:rsidRPr="00F02EC1" w:rsidRDefault="002628EB" w:rsidP="00ED4BC2">
            <w:pPr>
              <w:jc w:val="center"/>
              <w:rPr>
                <w:rFonts w:ascii="Times New Roman" w:eastAsia="Times New Roman" w:hAnsi="Times New Roman" w:cs="Times New Roman"/>
                <w:bCs/>
                <w:color w:val="373737"/>
                <w:sz w:val="20"/>
                <w:szCs w:val="20"/>
                <w:lang w:eastAsia="tr-TR"/>
              </w:rPr>
            </w:pPr>
            <w:r w:rsidRPr="00F02EC1">
              <w:rPr>
                <w:rFonts w:ascii="Times New Roman" w:eastAsia="Times New Roman" w:hAnsi="Times New Roman" w:cs="Times New Roman"/>
                <w:bCs/>
                <w:color w:val="373737"/>
                <w:sz w:val="20"/>
                <w:szCs w:val="20"/>
                <w:lang w:eastAsia="tr-TR"/>
              </w:rPr>
              <w:t xml:space="preserve">Başvuru aşamasında </w:t>
            </w:r>
            <w:r w:rsidRPr="00F02EC1">
              <w:rPr>
                <w:rFonts w:ascii="Times New Roman" w:eastAsia="Times New Roman" w:hAnsi="Times New Roman" w:cs="Times New Roman"/>
                <w:b/>
                <w:bCs/>
                <w:color w:val="373737"/>
                <w:sz w:val="20"/>
                <w:szCs w:val="20"/>
                <w:lang w:eastAsia="tr-TR"/>
              </w:rPr>
              <w:t xml:space="preserve">henüz transkripti oluşmamış, ön lisanstan </w:t>
            </w:r>
            <w:r>
              <w:rPr>
                <w:rFonts w:ascii="Times New Roman" w:eastAsia="Times New Roman" w:hAnsi="Times New Roman" w:cs="Times New Roman"/>
                <w:b/>
                <w:bCs/>
                <w:color w:val="373737"/>
                <w:sz w:val="20"/>
                <w:szCs w:val="20"/>
                <w:lang w:eastAsia="tr-TR"/>
              </w:rPr>
              <w:t xml:space="preserve">lisansa </w:t>
            </w:r>
            <w:r w:rsidRPr="00F02EC1">
              <w:rPr>
                <w:rFonts w:ascii="Times New Roman" w:eastAsia="Times New Roman" w:hAnsi="Times New Roman" w:cs="Times New Roman"/>
                <w:b/>
                <w:bCs/>
                <w:color w:val="373737"/>
                <w:sz w:val="20"/>
                <w:szCs w:val="20"/>
                <w:lang w:eastAsia="tr-TR"/>
              </w:rPr>
              <w:t>geçiş yapan</w:t>
            </w:r>
            <w:r w:rsidRPr="00F02EC1">
              <w:rPr>
                <w:rFonts w:ascii="Times New Roman" w:eastAsia="Times New Roman" w:hAnsi="Times New Roman" w:cs="Times New Roman"/>
                <w:bCs/>
                <w:color w:val="373737"/>
                <w:sz w:val="20"/>
                <w:szCs w:val="20"/>
                <w:lang w:eastAsia="tr-TR"/>
              </w:rPr>
              <w:t xml:space="preserve"> öğrenciler için </w:t>
            </w:r>
          </w:p>
        </w:tc>
        <w:tc>
          <w:tcPr>
            <w:tcW w:w="3969" w:type="dxa"/>
          </w:tcPr>
          <w:p w:rsidR="002628EB" w:rsidRPr="00F02EC1" w:rsidRDefault="002628EB" w:rsidP="00ED4BC2">
            <w:pPr>
              <w:rPr>
                <w:rFonts w:ascii="Times New Roman" w:eastAsia="Times New Roman" w:hAnsi="Times New Roman" w:cs="Times New Roman"/>
                <w:bCs/>
                <w:color w:val="373737"/>
                <w:sz w:val="20"/>
                <w:szCs w:val="20"/>
                <w:lang w:eastAsia="tr-TR"/>
              </w:rPr>
            </w:pPr>
            <w:r>
              <w:rPr>
                <w:rFonts w:ascii="Times New Roman" w:eastAsia="Times New Roman" w:hAnsi="Times New Roman" w:cs="Times New Roman"/>
                <w:bCs/>
                <w:color w:val="373737"/>
                <w:sz w:val="20"/>
                <w:szCs w:val="20"/>
                <w:lang w:eastAsia="tr-TR"/>
              </w:rPr>
              <w:t xml:space="preserve"> Ö</w:t>
            </w:r>
            <w:r w:rsidRPr="00F02EC1">
              <w:rPr>
                <w:rFonts w:ascii="Times New Roman" w:eastAsia="Times New Roman" w:hAnsi="Times New Roman" w:cs="Times New Roman"/>
                <w:bCs/>
                <w:color w:val="373737"/>
                <w:sz w:val="20"/>
                <w:szCs w:val="20"/>
                <w:lang w:eastAsia="tr-TR"/>
              </w:rPr>
              <w:t xml:space="preserve">n lisans mezuniyet notunun </w:t>
            </w:r>
            <w:r w:rsidRPr="00F02EC1">
              <w:rPr>
                <w:rFonts w:ascii="Times New Roman" w:eastAsia="Times New Roman" w:hAnsi="Times New Roman" w:cs="Times New Roman"/>
                <w:b/>
                <w:bCs/>
                <w:color w:val="373737"/>
                <w:sz w:val="20"/>
                <w:szCs w:val="20"/>
                <w:lang w:eastAsia="tr-TR"/>
              </w:rPr>
              <w:t>en az 2.20/4.00</w:t>
            </w:r>
          </w:p>
        </w:tc>
      </w:tr>
    </w:tbl>
    <w:p w:rsidR="00987C7E" w:rsidRPr="00EC3F84" w:rsidRDefault="00987C7E" w:rsidP="00B81B20">
      <w:pPr>
        <w:jc w:val="both"/>
        <w:rPr>
          <w:rFonts w:ascii="Times New Roman" w:eastAsia="Times New Roman" w:hAnsi="Times New Roman" w:cs="Times New Roman"/>
          <w:bCs/>
          <w:color w:val="373737"/>
          <w:sz w:val="20"/>
          <w:szCs w:val="20"/>
          <w:lang w:eastAsia="tr-TR"/>
        </w:rPr>
      </w:pPr>
    </w:p>
    <w:p w:rsidR="00987C7E" w:rsidRDefault="00987C7E" w:rsidP="00B81B20">
      <w:pPr>
        <w:jc w:val="both"/>
        <w:rPr>
          <w:rFonts w:ascii="Times New Roman" w:eastAsia="Times New Roman" w:hAnsi="Times New Roman" w:cs="Times New Roman"/>
          <w:bCs/>
          <w:color w:val="373737"/>
          <w:sz w:val="20"/>
          <w:szCs w:val="20"/>
          <w:lang w:eastAsia="tr-TR"/>
        </w:rPr>
      </w:pPr>
      <w:r w:rsidRPr="00EC3F84">
        <w:rPr>
          <w:rFonts w:ascii="Times New Roman" w:eastAsia="Times New Roman" w:hAnsi="Times New Roman" w:cs="Times New Roman"/>
          <w:bCs/>
          <w:color w:val="373737"/>
          <w:sz w:val="20"/>
          <w:szCs w:val="20"/>
          <w:lang w:eastAsia="tr-TR"/>
        </w:rPr>
        <w:t>4. Erasmu</w:t>
      </w:r>
      <w:r w:rsidR="000605DE">
        <w:rPr>
          <w:rFonts w:ascii="Times New Roman" w:eastAsia="Times New Roman" w:hAnsi="Times New Roman" w:cs="Times New Roman"/>
          <w:bCs/>
          <w:color w:val="373737"/>
          <w:sz w:val="20"/>
          <w:szCs w:val="20"/>
          <w:lang w:eastAsia="tr-TR"/>
        </w:rPr>
        <w:t xml:space="preserve">s+ </w:t>
      </w:r>
      <w:r w:rsidRPr="00EC3F84">
        <w:rPr>
          <w:rFonts w:ascii="Times New Roman" w:eastAsia="Times New Roman" w:hAnsi="Times New Roman" w:cs="Times New Roman"/>
          <w:bCs/>
          <w:color w:val="373737"/>
          <w:sz w:val="20"/>
          <w:szCs w:val="20"/>
          <w:lang w:eastAsia="tr-TR"/>
        </w:rPr>
        <w:t>Staj Hareketliliği için </w:t>
      </w:r>
      <w:r w:rsidR="008B3E76">
        <w:rPr>
          <w:rFonts w:ascii="Times New Roman" w:eastAsia="Times New Roman" w:hAnsi="Times New Roman" w:cs="Times New Roman"/>
          <w:bCs/>
          <w:color w:val="373737"/>
          <w:sz w:val="20"/>
          <w:szCs w:val="20"/>
          <w:lang w:eastAsia="tr-TR"/>
        </w:rPr>
        <w:t>A2</w:t>
      </w:r>
      <w:r w:rsidRPr="00EC3F84">
        <w:rPr>
          <w:rFonts w:ascii="Times New Roman" w:eastAsia="Times New Roman" w:hAnsi="Times New Roman" w:cs="Times New Roman"/>
          <w:bCs/>
          <w:color w:val="373737"/>
          <w:sz w:val="20"/>
          <w:szCs w:val="20"/>
          <w:lang w:eastAsia="tr-TR"/>
        </w:rPr>
        <w:t> </w:t>
      </w:r>
      <w:r w:rsidR="008B3E76">
        <w:rPr>
          <w:rFonts w:ascii="Times New Roman" w:eastAsia="Times New Roman" w:hAnsi="Times New Roman" w:cs="Times New Roman"/>
          <w:bCs/>
          <w:color w:val="373737"/>
          <w:sz w:val="20"/>
          <w:szCs w:val="20"/>
          <w:lang w:eastAsia="tr-TR"/>
        </w:rPr>
        <w:t xml:space="preserve"> yabancı dil seviyesine </w:t>
      </w:r>
      <w:r w:rsidRPr="00EC3F84">
        <w:rPr>
          <w:rFonts w:ascii="Times New Roman" w:eastAsia="Times New Roman" w:hAnsi="Times New Roman" w:cs="Times New Roman"/>
          <w:bCs/>
          <w:color w:val="373737"/>
          <w:sz w:val="20"/>
          <w:szCs w:val="20"/>
          <w:lang w:eastAsia="tr-TR"/>
        </w:rPr>
        <w:t>sahip olmak</w:t>
      </w:r>
      <w:r w:rsidR="008B3E76">
        <w:rPr>
          <w:rFonts w:ascii="Times New Roman" w:eastAsia="Times New Roman" w:hAnsi="Times New Roman" w:cs="Times New Roman"/>
          <w:bCs/>
          <w:color w:val="373737"/>
          <w:sz w:val="20"/>
          <w:szCs w:val="20"/>
          <w:lang w:eastAsia="tr-TR"/>
        </w:rPr>
        <w:t xml:space="preserve"> (Dil Düzey </w:t>
      </w:r>
      <w:r w:rsidR="002B70B7" w:rsidRPr="002B70B7">
        <w:rPr>
          <w:rFonts w:ascii="Times New Roman" w:eastAsia="Times New Roman" w:hAnsi="Times New Roman" w:cs="Times New Roman"/>
          <w:bCs/>
          <w:color w:val="373737"/>
          <w:sz w:val="20"/>
          <w:szCs w:val="20"/>
          <w:lang w:eastAsia="tr-TR"/>
        </w:rPr>
        <w:t>ve Eşdeğerlikleri</w:t>
      </w:r>
      <w:r w:rsidR="002B70B7">
        <w:rPr>
          <w:rFonts w:ascii="Times New Roman" w:eastAsia="Times New Roman" w:hAnsi="Times New Roman" w:cs="Times New Roman"/>
          <w:bCs/>
          <w:color w:val="373737"/>
          <w:sz w:val="20"/>
          <w:szCs w:val="20"/>
          <w:lang w:eastAsia="tr-TR"/>
        </w:rPr>
        <w:t xml:space="preserve"> aşağıdaki </w:t>
      </w:r>
      <w:r w:rsidR="008B3E76">
        <w:rPr>
          <w:rFonts w:ascii="Times New Roman" w:eastAsia="Times New Roman" w:hAnsi="Times New Roman" w:cs="Times New Roman"/>
          <w:bCs/>
          <w:color w:val="373737"/>
          <w:sz w:val="20"/>
          <w:szCs w:val="20"/>
          <w:lang w:eastAsia="tr-TR"/>
        </w:rPr>
        <w:t>tabloda yer almaktadır.)</w:t>
      </w:r>
    </w:p>
    <w:p w:rsidR="002628EB" w:rsidRDefault="002628EB" w:rsidP="00B81B20">
      <w:pPr>
        <w:jc w:val="both"/>
        <w:rPr>
          <w:rFonts w:ascii="Times New Roman" w:eastAsia="Times New Roman" w:hAnsi="Times New Roman" w:cs="Times New Roman"/>
          <w:bCs/>
          <w:color w:val="373737"/>
          <w:sz w:val="20"/>
          <w:szCs w:val="20"/>
          <w:lang w:eastAsia="tr-TR"/>
        </w:rPr>
      </w:pPr>
      <w:r>
        <w:rPr>
          <w:rFonts w:ascii="Times New Roman" w:eastAsia="Times New Roman" w:hAnsi="Times New Roman" w:cs="Times New Roman"/>
          <w:bCs/>
          <w:color w:val="373737"/>
          <w:sz w:val="20"/>
          <w:szCs w:val="20"/>
          <w:lang w:eastAsia="tr-TR"/>
        </w:rPr>
        <w:t xml:space="preserve">5. </w:t>
      </w:r>
      <w:r w:rsidRPr="0036019F">
        <w:rPr>
          <w:rFonts w:ascii="Times New Roman" w:eastAsia="Times New Roman" w:hAnsi="Times New Roman" w:cs="Times New Roman"/>
          <w:bCs/>
          <w:color w:val="373737"/>
          <w:sz w:val="20"/>
          <w:szCs w:val="20"/>
          <w:lang w:eastAsia="tr-TR"/>
        </w:rPr>
        <w:t>Mevcut öğrenim kademesi içerisinde, 2014-2020 ve/veya 2021-2027 Erasmus+ dönemlerinde yükseköğretim ha</w:t>
      </w:r>
      <w:r>
        <w:rPr>
          <w:rFonts w:ascii="Times New Roman" w:eastAsia="Times New Roman" w:hAnsi="Times New Roman" w:cs="Times New Roman"/>
          <w:bCs/>
          <w:color w:val="373737"/>
          <w:sz w:val="20"/>
          <w:szCs w:val="20"/>
          <w:lang w:eastAsia="tr-TR"/>
        </w:rPr>
        <w:t>reketliliği faaliyetlerinden</w:t>
      </w:r>
      <w:r w:rsidRPr="0036019F">
        <w:rPr>
          <w:rFonts w:ascii="Times New Roman" w:eastAsia="Times New Roman" w:hAnsi="Times New Roman" w:cs="Times New Roman"/>
          <w:bCs/>
          <w:color w:val="373737"/>
          <w:sz w:val="20"/>
          <w:szCs w:val="20"/>
          <w:lang w:eastAsia="tr-TR"/>
        </w:rPr>
        <w:t xml:space="preserve"> yararlan</w:t>
      </w:r>
      <w:r>
        <w:rPr>
          <w:rFonts w:ascii="Times New Roman" w:eastAsia="Times New Roman" w:hAnsi="Times New Roman" w:cs="Times New Roman"/>
          <w:bCs/>
          <w:color w:val="373737"/>
          <w:sz w:val="20"/>
          <w:szCs w:val="20"/>
          <w:lang w:eastAsia="tr-TR"/>
        </w:rPr>
        <w:t>an öğrencilerin</w:t>
      </w:r>
      <w:r w:rsidRPr="0036019F">
        <w:rPr>
          <w:rFonts w:ascii="Times New Roman" w:eastAsia="Times New Roman" w:hAnsi="Times New Roman" w:cs="Times New Roman"/>
          <w:bCs/>
          <w:color w:val="373737"/>
          <w:sz w:val="20"/>
          <w:szCs w:val="20"/>
          <w:lang w:eastAsia="tr-TR"/>
        </w:rPr>
        <w:t>, yeni faaliyetle beraber toplam sürenin 12 ayı geçmemesi.</w:t>
      </w:r>
    </w:p>
    <w:p w:rsidR="002628EB" w:rsidRDefault="002628EB" w:rsidP="00B81B20">
      <w:pPr>
        <w:jc w:val="both"/>
        <w:rPr>
          <w:rFonts w:ascii="Times New Roman" w:eastAsia="Times New Roman" w:hAnsi="Times New Roman" w:cs="Times New Roman"/>
          <w:bCs/>
          <w:color w:val="373737"/>
          <w:sz w:val="20"/>
          <w:szCs w:val="20"/>
          <w:lang w:eastAsia="tr-TR"/>
        </w:rPr>
      </w:pPr>
      <w:r>
        <w:rPr>
          <w:rFonts w:ascii="Times New Roman" w:eastAsia="Times New Roman" w:hAnsi="Times New Roman" w:cs="Times New Roman"/>
          <w:bCs/>
          <w:color w:val="373737"/>
          <w:sz w:val="20"/>
          <w:szCs w:val="20"/>
          <w:lang w:eastAsia="tr-TR"/>
        </w:rPr>
        <w:t xml:space="preserve">6. </w:t>
      </w:r>
      <w:r w:rsidRPr="009A3CEA">
        <w:rPr>
          <w:rFonts w:ascii="Times New Roman" w:eastAsia="Times New Roman" w:hAnsi="Times New Roman" w:cs="Times New Roman"/>
          <w:bCs/>
          <w:color w:val="373737"/>
          <w:sz w:val="20"/>
          <w:szCs w:val="20"/>
          <w:lang w:eastAsia="tr-TR"/>
        </w:rPr>
        <w:t>Çift ana</w:t>
      </w:r>
      <w:r>
        <w:rPr>
          <w:rFonts w:ascii="Times New Roman" w:eastAsia="Times New Roman" w:hAnsi="Times New Roman" w:cs="Times New Roman"/>
          <w:bCs/>
          <w:color w:val="373737"/>
          <w:sz w:val="20"/>
          <w:szCs w:val="20"/>
          <w:lang w:eastAsia="tr-TR"/>
        </w:rPr>
        <w:t xml:space="preserve"> </w:t>
      </w:r>
      <w:r w:rsidRPr="009A3CEA">
        <w:rPr>
          <w:rFonts w:ascii="Times New Roman" w:eastAsia="Times New Roman" w:hAnsi="Times New Roman" w:cs="Times New Roman"/>
          <w:bCs/>
          <w:color w:val="373737"/>
          <w:sz w:val="20"/>
          <w:szCs w:val="20"/>
          <w:lang w:eastAsia="tr-TR"/>
        </w:rPr>
        <w:t>dalda öğrenim gören öğrenciler aynı başvuru döneminde sadece bir ana</w:t>
      </w:r>
      <w:r>
        <w:rPr>
          <w:rFonts w:ascii="Times New Roman" w:eastAsia="Times New Roman" w:hAnsi="Times New Roman" w:cs="Times New Roman"/>
          <w:bCs/>
          <w:color w:val="373737"/>
          <w:sz w:val="20"/>
          <w:szCs w:val="20"/>
          <w:lang w:eastAsia="tr-TR"/>
        </w:rPr>
        <w:t xml:space="preserve"> </w:t>
      </w:r>
      <w:r w:rsidRPr="009A3CEA">
        <w:rPr>
          <w:rFonts w:ascii="Times New Roman" w:eastAsia="Times New Roman" w:hAnsi="Times New Roman" w:cs="Times New Roman"/>
          <w:bCs/>
          <w:color w:val="373737"/>
          <w:sz w:val="20"/>
          <w:szCs w:val="20"/>
          <w:lang w:eastAsia="tr-TR"/>
        </w:rPr>
        <w:t>daldan hareketliliğe başvurabilirler.</w:t>
      </w:r>
    </w:p>
    <w:p w:rsidR="00987C7E" w:rsidRDefault="00987C7E" w:rsidP="00987C7E">
      <w:pPr>
        <w:jc w:val="center"/>
        <w:rPr>
          <w:rFonts w:ascii="Times New Roman" w:eastAsia="Times New Roman" w:hAnsi="Times New Roman" w:cs="Times New Roman"/>
          <w:b/>
          <w:bCs/>
          <w:color w:val="373737"/>
          <w:sz w:val="24"/>
          <w:szCs w:val="24"/>
          <w:lang w:eastAsia="tr-TR"/>
        </w:rPr>
      </w:pPr>
      <w:r w:rsidRPr="00EC3F84">
        <w:rPr>
          <w:rFonts w:ascii="Times New Roman" w:eastAsia="Times New Roman" w:hAnsi="Times New Roman" w:cs="Times New Roman"/>
          <w:b/>
          <w:bCs/>
          <w:color w:val="373737"/>
          <w:sz w:val="24"/>
          <w:szCs w:val="24"/>
          <w:lang w:eastAsia="tr-TR"/>
        </w:rPr>
        <w:t>BAŞVURU NASIL YAPILIR?</w:t>
      </w:r>
    </w:p>
    <w:p w:rsidR="00987C7E" w:rsidRDefault="00987C7E" w:rsidP="00B81B20">
      <w:pPr>
        <w:jc w:val="both"/>
        <w:rPr>
          <w:rFonts w:ascii="Times New Roman" w:eastAsia="Times New Roman" w:hAnsi="Times New Roman" w:cs="Times New Roman"/>
          <w:bCs/>
          <w:color w:val="373737"/>
          <w:sz w:val="20"/>
          <w:szCs w:val="20"/>
          <w:lang w:eastAsia="tr-TR"/>
        </w:rPr>
      </w:pPr>
      <w:r w:rsidRPr="00EC3F84">
        <w:rPr>
          <w:rFonts w:ascii="Times New Roman" w:eastAsia="Times New Roman" w:hAnsi="Times New Roman" w:cs="Times New Roman"/>
          <w:bCs/>
          <w:color w:val="373737"/>
          <w:sz w:val="20"/>
          <w:szCs w:val="20"/>
          <w:lang w:eastAsia="tr-TR"/>
        </w:rPr>
        <w:t>Başvurular </w:t>
      </w:r>
      <w:hyperlink r:id="rId6" w:tooltip="https://www.erasmusbasvuru.ua.gov.tr" w:history="1">
        <w:r w:rsidR="00B81B20">
          <w:rPr>
            <w:rStyle w:val="Gl"/>
            <w:i/>
            <w:iCs/>
            <w:color w:val="0000FF"/>
            <w:u w:val="single"/>
          </w:rPr>
          <w:t>(</w:t>
        </w:r>
      </w:hyperlink>
      <w:hyperlink r:id="rId7" w:tooltip="https://www.turkiye.gov.tr/abevgpm-erasmus-ve-esc-basvurulari" w:history="1">
        <w:r w:rsidR="00B81B20">
          <w:rPr>
            <w:rStyle w:val="Kpr"/>
            <w:b/>
            <w:bCs/>
            <w:i/>
            <w:iCs/>
          </w:rPr>
          <w:t>https://www.</w:t>
        </w:r>
      </w:hyperlink>
      <w:hyperlink r:id="rId8" w:tooltip="https://www.erasmusbasvuru.ua.gov.tr" w:history="1">
        <w:r w:rsidR="00B81B20">
          <w:rPr>
            <w:rStyle w:val="Gl"/>
            <w:i/>
            <w:iCs/>
            <w:color w:val="0000FF"/>
            <w:u w:val="single"/>
          </w:rPr>
          <w:t>erasmusbasvuru.ua.gov.tr)</w:t>
        </w:r>
      </w:hyperlink>
      <w:r w:rsidR="00B81B20">
        <w:t xml:space="preserve"> </w:t>
      </w:r>
      <w:r w:rsidRPr="00EC3F84">
        <w:rPr>
          <w:rFonts w:ascii="Times New Roman" w:eastAsia="Times New Roman" w:hAnsi="Times New Roman" w:cs="Times New Roman"/>
          <w:bCs/>
          <w:color w:val="373737"/>
          <w:sz w:val="20"/>
          <w:szCs w:val="20"/>
          <w:lang w:eastAsia="tr-TR"/>
        </w:rPr>
        <w:t xml:space="preserve">adresinden </w:t>
      </w:r>
      <w:proofErr w:type="gramStart"/>
      <w:r w:rsidRPr="00EC3F84">
        <w:rPr>
          <w:rFonts w:ascii="Times New Roman" w:eastAsia="Times New Roman" w:hAnsi="Times New Roman" w:cs="Times New Roman"/>
          <w:bCs/>
          <w:color w:val="373737"/>
          <w:sz w:val="20"/>
          <w:szCs w:val="20"/>
          <w:lang w:eastAsia="tr-TR"/>
        </w:rPr>
        <w:t>online</w:t>
      </w:r>
      <w:proofErr w:type="gramEnd"/>
      <w:r w:rsidRPr="00EC3F84">
        <w:rPr>
          <w:rFonts w:ascii="Times New Roman" w:eastAsia="Times New Roman" w:hAnsi="Times New Roman" w:cs="Times New Roman"/>
          <w:bCs/>
          <w:color w:val="373737"/>
          <w:sz w:val="20"/>
          <w:szCs w:val="20"/>
          <w:lang w:eastAsia="tr-TR"/>
        </w:rPr>
        <w:t xml:space="preserve"> olarak alınacaktır. Başvuruda bulunan öğrenciler başvurularına güncel transkript belgelerini yüklemeleri gerekmektedir. Ayrıca Üniversitemiz tarafından düzenlenen Değişim Programları Yabancı Dil Sınavına girmeyip başka bir yabancı dil belgesi olan öğrencilerimiz dil belgelerini de yükleyeceklerdir. </w:t>
      </w:r>
    </w:p>
    <w:p w:rsidR="002B70B7" w:rsidRPr="002B70B7" w:rsidRDefault="00987C7E" w:rsidP="002B70B7">
      <w:pPr>
        <w:jc w:val="center"/>
        <w:rPr>
          <w:rFonts w:ascii="Times New Roman" w:eastAsia="Times New Roman" w:hAnsi="Times New Roman" w:cs="Times New Roman"/>
          <w:b/>
          <w:bCs/>
          <w:color w:val="373737"/>
          <w:sz w:val="24"/>
          <w:szCs w:val="24"/>
          <w:lang w:eastAsia="tr-TR"/>
        </w:rPr>
      </w:pPr>
      <w:r w:rsidRPr="00EC3F84">
        <w:rPr>
          <w:rFonts w:ascii="Times New Roman" w:eastAsia="Times New Roman" w:hAnsi="Times New Roman" w:cs="Times New Roman"/>
          <w:b/>
          <w:bCs/>
          <w:color w:val="373737"/>
          <w:sz w:val="24"/>
          <w:szCs w:val="24"/>
          <w:lang w:eastAsia="tr-TR"/>
        </w:rPr>
        <w:t>YABANCI DİL BELGESİ</w:t>
      </w:r>
    </w:p>
    <w:p w:rsidR="002B70B7" w:rsidRPr="002B70B7" w:rsidRDefault="002B70B7" w:rsidP="002B70B7">
      <w:pPr>
        <w:pStyle w:val="ListeParagraf"/>
        <w:numPr>
          <w:ilvl w:val="0"/>
          <w:numId w:val="4"/>
        </w:numPr>
        <w:ind w:left="426"/>
        <w:jc w:val="both"/>
        <w:rPr>
          <w:rFonts w:ascii="Times New Roman" w:eastAsia="Times New Roman" w:hAnsi="Times New Roman" w:cs="Times New Roman"/>
          <w:b/>
          <w:bCs/>
          <w:color w:val="373737"/>
          <w:sz w:val="20"/>
          <w:szCs w:val="20"/>
          <w:lang w:eastAsia="tr-TR"/>
        </w:rPr>
      </w:pPr>
      <w:r w:rsidRPr="002B70B7">
        <w:rPr>
          <w:rFonts w:ascii="Times New Roman" w:eastAsia="Times New Roman" w:hAnsi="Times New Roman" w:cs="Times New Roman"/>
          <w:b/>
          <w:bCs/>
          <w:color w:val="373737"/>
          <w:sz w:val="20"/>
          <w:szCs w:val="20"/>
          <w:lang w:eastAsia="tr-TR"/>
        </w:rPr>
        <w:t xml:space="preserve">2022 yılına ait Erasmus Yabancı Dil Sınavı 02.03.2022 tarihinde yapıldığından bu yıl içerisinde başka bir sınav yapılmayacaktır. </w:t>
      </w:r>
    </w:p>
    <w:p w:rsidR="002628EB" w:rsidRDefault="002628EB" w:rsidP="002628EB">
      <w:pPr>
        <w:pStyle w:val="ListeParagraf"/>
        <w:numPr>
          <w:ilvl w:val="0"/>
          <w:numId w:val="4"/>
        </w:numPr>
        <w:ind w:left="426"/>
        <w:jc w:val="both"/>
        <w:rPr>
          <w:rFonts w:ascii="Times New Roman" w:eastAsia="Times New Roman" w:hAnsi="Times New Roman" w:cs="Times New Roman"/>
          <w:bCs/>
          <w:color w:val="373737"/>
          <w:sz w:val="20"/>
          <w:szCs w:val="20"/>
          <w:lang w:eastAsia="tr-TR"/>
        </w:rPr>
      </w:pPr>
      <w:r w:rsidRPr="006959E6">
        <w:rPr>
          <w:rFonts w:ascii="Times New Roman" w:eastAsia="Times New Roman" w:hAnsi="Times New Roman" w:cs="Times New Roman"/>
          <w:bCs/>
          <w:color w:val="373737"/>
          <w:sz w:val="20"/>
          <w:szCs w:val="20"/>
          <w:lang w:eastAsia="tr-TR"/>
        </w:rPr>
        <w:t>Sakarya Uygulamalı Bilimler Üniversitesi</w:t>
      </w:r>
      <w:r w:rsidR="008945C5">
        <w:rPr>
          <w:rFonts w:ascii="Times New Roman" w:eastAsia="Times New Roman" w:hAnsi="Times New Roman" w:cs="Times New Roman"/>
          <w:bCs/>
          <w:color w:val="373737"/>
          <w:sz w:val="20"/>
          <w:szCs w:val="20"/>
          <w:lang w:eastAsia="tr-TR"/>
        </w:rPr>
        <w:t>, Yabancı Diller Yüksek Okulu tarafından</w:t>
      </w:r>
      <w:r>
        <w:rPr>
          <w:rFonts w:ascii="Times New Roman" w:eastAsia="Times New Roman" w:hAnsi="Times New Roman" w:cs="Times New Roman"/>
          <w:bCs/>
          <w:color w:val="373737"/>
          <w:sz w:val="20"/>
          <w:szCs w:val="20"/>
          <w:lang w:eastAsia="tr-TR"/>
        </w:rPr>
        <w:t xml:space="preserve"> </w:t>
      </w:r>
      <w:r w:rsidR="008945C5">
        <w:rPr>
          <w:rFonts w:ascii="Times New Roman" w:eastAsia="Times New Roman" w:hAnsi="Times New Roman" w:cs="Times New Roman"/>
          <w:bCs/>
          <w:color w:val="373737"/>
          <w:sz w:val="20"/>
          <w:szCs w:val="20"/>
          <w:lang w:eastAsia="tr-TR"/>
        </w:rPr>
        <w:t>02.03.2022 tarihinde yapılan Erasmus</w:t>
      </w:r>
      <w:r>
        <w:rPr>
          <w:rFonts w:ascii="Times New Roman" w:eastAsia="Times New Roman" w:hAnsi="Times New Roman" w:cs="Times New Roman"/>
          <w:bCs/>
          <w:color w:val="373737"/>
          <w:sz w:val="20"/>
          <w:szCs w:val="20"/>
          <w:lang w:eastAsia="tr-TR"/>
        </w:rPr>
        <w:t xml:space="preserve"> sınavından en az 50 alan öğrenciler, Erasmus staj hareketliliğine başvuru yapma hakkına sahiptir. </w:t>
      </w:r>
      <w:r w:rsidR="000518A3">
        <w:rPr>
          <w:rFonts w:ascii="Times New Roman" w:eastAsia="Times New Roman" w:hAnsi="Times New Roman" w:cs="Times New Roman"/>
          <w:bCs/>
          <w:color w:val="373737"/>
          <w:sz w:val="20"/>
          <w:szCs w:val="20"/>
          <w:lang w:eastAsia="tr-TR"/>
        </w:rPr>
        <w:t xml:space="preserve">Öğrenciler dil belgelerini Erasmus Koordinatörlüğünden dilekçe ile temin edebilirler. </w:t>
      </w:r>
    </w:p>
    <w:p w:rsidR="002628EB" w:rsidRPr="006959E6" w:rsidRDefault="002628EB" w:rsidP="002628EB">
      <w:pPr>
        <w:pStyle w:val="ListeParagraf"/>
        <w:numPr>
          <w:ilvl w:val="0"/>
          <w:numId w:val="4"/>
        </w:numPr>
        <w:ind w:left="426"/>
        <w:jc w:val="both"/>
        <w:rPr>
          <w:rStyle w:val="Kpr"/>
          <w:rFonts w:ascii="Times New Roman" w:hAnsi="Times New Roman" w:cs="Times New Roman"/>
        </w:rPr>
      </w:pPr>
      <w:r w:rsidRPr="006959E6">
        <w:rPr>
          <w:rFonts w:ascii="Times New Roman" w:eastAsia="Times New Roman" w:hAnsi="Times New Roman" w:cs="Times New Roman"/>
          <w:bCs/>
          <w:color w:val="373737"/>
          <w:sz w:val="20"/>
          <w:szCs w:val="20"/>
          <w:lang w:eastAsia="tr-TR"/>
        </w:rPr>
        <w:t>ÖSYM tarafından eşdeğerliği kabul edilmiş ve son 5 yıl içinde alınan ulusal ve uluslararası dil sınavı belgesi</w:t>
      </w:r>
      <w:r>
        <w:rPr>
          <w:rFonts w:ascii="Times New Roman" w:eastAsia="Times New Roman" w:hAnsi="Times New Roman" w:cs="Times New Roman"/>
          <w:bCs/>
          <w:color w:val="373737"/>
          <w:sz w:val="20"/>
          <w:szCs w:val="20"/>
          <w:lang w:eastAsia="tr-TR"/>
        </w:rPr>
        <w:t xml:space="preserve"> kabul edilmektedir. İlgili belgelere bakınız,</w:t>
      </w:r>
      <w:r w:rsidRPr="006959E6">
        <w:rPr>
          <w:rFonts w:ascii="Times New Roman" w:eastAsia="Times New Roman" w:hAnsi="Times New Roman" w:cs="Times New Roman"/>
          <w:bCs/>
          <w:color w:val="373737"/>
          <w:sz w:val="20"/>
          <w:szCs w:val="20"/>
          <w:lang w:eastAsia="tr-TR"/>
        </w:rPr>
        <w:t xml:space="preserve"> </w:t>
      </w:r>
      <w:hyperlink r:id="rId9" w:history="1">
        <w:r w:rsidRPr="006959E6">
          <w:rPr>
            <w:rStyle w:val="Kpr"/>
            <w:rFonts w:ascii="Times New Roman" w:hAnsi="Times New Roman" w:cs="Times New Roman"/>
            <w:sz w:val="20"/>
            <w:szCs w:val="20"/>
          </w:rPr>
          <w:t>https://denklik.yok.gov.tr/yabanci-dil-esdegerlikleri</w:t>
        </w:r>
      </w:hyperlink>
    </w:p>
    <w:p w:rsidR="00776D36" w:rsidRDefault="006959E6" w:rsidP="00246F7E">
      <w:pPr>
        <w:tabs>
          <w:tab w:val="num" w:pos="720"/>
        </w:tabs>
        <w:rPr>
          <w:rFonts w:ascii="Times New Roman" w:hAnsi="Times New Roman" w:cs="Times New Roman"/>
          <w:color w:val="0563C1" w:themeColor="hyperlink"/>
          <w:u w:val="single"/>
        </w:rPr>
      </w:pPr>
      <w:r w:rsidRPr="00900D33">
        <w:rPr>
          <w:rFonts w:ascii="Times New Roman" w:eastAsia="Times New Roman" w:hAnsi="Times New Roman" w:cs="Times New Roman"/>
          <w:b/>
          <w:bCs/>
          <w:color w:val="FF0000"/>
          <w:sz w:val="20"/>
          <w:szCs w:val="20"/>
          <w:lang w:eastAsia="tr-TR"/>
        </w:rPr>
        <w:lastRenderedPageBreak/>
        <w:t>Erasmus+ Seçim ve Değerlendirme Komisyon</w:t>
      </w:r>
      <w:r>
        <w:rPr>
          <w:rFonts w:ascii="Times New Roman" w:eastAsia="Times New Roman" w:hAnsi="Times New Roman" w:cs="Times New Roman"/>
          <w:b/>
          <w:bCs/>
          <w:color w:val="FF0000"/>
          <w:sz w:val="20"/>
          <w:szCs w:val="20"/>
          <w:lang w:eastAsia="tr-TR"/>
        </w:rPr>
        <w:t xml:space="preserve">un </w:t>
      </w:r>
      <w:r w:rsidR="008945C5">
        <w:rPr>
          <w:rFonts w:ascii="Times New Roman" w:eastAsia="Times New Roman" w:hAnsi="Times New Roman" w:cs="Times New Roman"/>
          <w:b/>
          <w:bCs/>
          <w:color w:val="FF0000"/>
          <w:sz w:val="20"/>
          <w:szCs w:val="20"/>
          <w:lang w:eastAsia="tr-TR"/>
        </w:rPr>
        <w:t>13.04</w:t>
      </w:r>
      <w:r>
        <w:rPr>
          <w:rFonts w:ascii="Times New Roman" w:eastAsia="Times New Roman" w:hAnsi="Times New Roman" w:cs="Times New Roman"/>
          <w:b/>
          <w:bCs/>
          <w:color w:val="FF0000"/>
          <w:sz w:val="20"/>
          <w:szCs w:val="20"/>
          <w:lang w:eastAsia="tr-TR"/>
        </w:rPr>
        <w:t>.20</w:t>
      </w:r>
      <w:r w:rsidR="008945C5">
        <w:rPr>
          <w:rFonts w:ascii="Times New Roman" w:eastAsia="Times New Roman" w:hAnsi="Times New Roman" w:cs="Times New Roman"/>
          <w:b/>
          <w:bCs/>
          <w:color w:val="FF0000"/>
          <w:sz w:val="20"/>
          <w:szCs w:val="20"/>
          <w:lang w:eastAsia="tr-TR"/>
        </w:rPr>
        <w:t>22</w:t>
      </w:r>
      <w:r>
        <w:rPr>
          <w:rFonts w:ascii="Times New Roman" w:eastAsia="Times New Roman" w:hAnsi="Times New Roman" w:cs="Times New Roman"/>
          <w:b/>
          <w:bCs/>
          <w:color w:val="FF0000"/>
          <w:sz w:val="20"/>
          <w:szCs w:val="20"/>
          <w:lang w:eastAsia="tr-TR"/>
        </w:rPr>
        <w:t xml:space="preserve"> tarihli toplantısı </w:t>
      </w:r>
      <w:r w:rsidR="008945C5">
        <w:rPr>
          <w:rFonts w:ascii="Times New Roman" w:eastAsia="Times New Roman" w:hAnsi="Times New Roman" w:cs="Times New Roman"/>
          <w:b/>
          <w:bCs/>
          <w:color w:val="FF0000"/>
          <w:sz w:val="20"/>
          <w:szCs w:val="20"/>
          <w:lang w:eastAsia="tr-TR"/>
        </w:rPr>
        <w:t>11</w:t>
      </w:r>
      <w:r>
        <w:rPr>
          <w:rFonts w:ascii="Times New Roman" w:eastAsia="Times New Roman" w:hAnsi="Times New Roman" w:cs="Times New Roman"/>
          <w:b/>
          <w:bCs/>
          <w:color w:val="FF0000"/>
          <w:sz w:val="20"/>
          <w:szCs w:val="20"/>
          <w:lang w:eastAsia="tr-TR"/>
        </w:rPr>
        <w:t xml:space="preserve"> no’lu kararınca İngilizce Sınavları Eşdeğerlilikleri tablosu aşağıdaki gibidir:</w:t>
      </w:r>
    </w:p>
    <w:p w:rsidR="00246F7E" w:rsidRDefault="00246F7E" w:rsidP="008B3E76">
      <w:pPr>
        <w:rPr>
          <w:rFonts w:ascii="Times New Roman" w:hAnsi="Times New Roman" w:cs="Times New Roman"/>
        </w:rPr>
      </w:pPr>
    </w:p>
    <w:tbl>
      <w:tblPr>
        <w:tblStyle w:val="TabloKlavuzu"/>
        <w:tblpPr w:leftFromText="141" w:rightFromText="141" w:vertAnchor="page" w:horzAnchor="margin" w:tblpY="1471"/>
        <w:tblW w:w="9256" w:type="dxa"/>
        <w:tblLook w:val="04A0" w:firstRow="1" w:lastRow="0" w:firstColumn="1" w:lastColumn="0" w:noHBand="0" w:noVBand="1"/>
      </w:tblPr>
      <w:tblGrid>
        <w:gridCol w:w="1303"/>
        <w:gridCol w:w="1447"/>
        <w:gridCol w:w="1288"/>
        <w:gridCol w:w="947"/>
        <w:gridCol w:w="1129"/>
        <w:gridCol w:w="1160"/>
        <w:gridCol w:w="984"/>
        <w:gridCol w:w="992"/>
        <w:gridCol w:w="6"/>
      </w:tblGrid>
      <w:tr w:rsidR="008B3E76" w:rsidTr="008C40D5">
        <w:trPr>
          <w:trHeight w:val="237"/>
        </w:trPr>
        <w:tc>
          <w:tcPr>
            <w:tcW w:w="9256" w:type="dxa"/>
            <w:gridSpan w:val="9"/>
            <w:shd w:val="clear" w:color="auto" w:fill="9CC2E5" w:themeFill="accent1" w:themeFillTint="99"/>
            <w:vAlign w:val="center"/>
          </w:tcPr>
          <w:p w:rsidR="008B3E76" w:rsidRPr="00F82021" w:rsidRDefault="008B3E76" w:rsidP="008C40D5">
            <w:pPr>
              <w:jc w:val="center"/>
              <w:rPr>
                <w:b/>
                <w:sz w:val="30"/>
                <w:szCs w:val="30"/>
              </w:rPr>
            </w:pPr>
            <w:r>
              <w:rPr>
                <w:b/>
                <w:sz w:val="30"/>
                <w:szCs w:val="30"/>
              </w:rPr>
              <w:t>YABANCI DİL SINAV</w:t>
            </w:r>
            <w:r w:rsidRPr="00F82021">
              <w:rPr>
                <w:b/>
                <w:sz w:val="30"/>
                <w:szCs w:val="30"/>
              </w:rPr>
              <w:t xml:space="preserve"> DÜZEYLER</w:t>
            </w:r>
            <w:r>
              <w:rPr>
                <w:b/>
                <w:sz w:val="30"/>
                <w:szCs w:val="30"/>
              </w:rPr>
              <w:t>İ</w:t>
            </w:r>
            <w:r w:rsidRPr="00F82021">
              <w:rPr>
                <w:b/>
                <w:sz w:val="30"/>
                <w:szCs w:val="30"/>
              </w:rPr>
              <w:t xml:space="preserve"> VE EŞDEĞERLİKLERİ</w:t>
            </w:r>
          </w:p>
        </w:tc>
      </w:tr>
      <w:tr w:rsidR="008B3E76" w:rsidTr="008C40D5">
        <w:trPr>
          <w:gridAfter w:val="1"/>
          <w:wAfter w:w="6" w:type="dxa"/>
          <w:trHeight w:val="237"/>
        </w:trPr>
        <w:tc>
          <w:tcPr>
            <w:tcW w:w="1303" w:type="dxa"/>
            <w:shd w:val="clear" w:color="auto" w:fill="9CC2E5" w:themeFill="accent1" w:themeFillTint="99"/>
            <w:vAlign w:val="center"/>
          </w:tcPr>
          <w:p w:rsidR="008B3E76" w:rsidRPr="003C18CF" w:rsidRDefault="008B3E76" w:rsidP="008C40D5">
            <w:pPr>
              <w:jc w:val="center"/>
              <w:rPr>
                <w:b/>
                <w:sz w:val="20"/>
                <w:szCs w:val="20"/>
              </w:rPr>
            </w:pPr>
            <w:r w:rsidRPr="003C18CF">
              <w:rPr>
                <w:b/>
                <w:sz w:val="20"/>
                <w:szCs w:val="20"/>
              </w:rPr>
              <w:t>Avrupa Ortak Dil Çerçevesi Seviyeleri</w:t>
            </w:r>
          </w:p>
        </w:tc>
        <w:tc>
          <w:tcPr>
            <w:tcW w:w="1447" w:type="dxa"/>
            <w:shd w:val="clear" w:color="auto" w:fill="9CC2E5" w:themeFill="accent1" w:themeFillTint="99"/>
            <w:vAlign w:val="center"/>
          </w:tcPr>
          <w:p w:rsidR="008B3E76" w:rsidRPr="003C18CF" w:rsidRDefault="008B3E76" w:rsidP="008C40D5">
            <w:pPr>
              <w:jc w:val="center"/>
              <w:rPr>
                <w:b/>
                <w:sz w:val="20"/>
                <w:szCs w:val="20"/>
              </w:rPr>
            </w:pPr>
            <w:r w:rsidRPr="003C18CF">
              <w:rPr>
                <w:b/>
                <w:sz w:val="20"/>
                <w:szCs w:val="20"/>
              </w:rPr>
              <w:t>İngilizce Hazırlık Sınıfı</w:t>
            </w:r>
          </w:p>
          <w:p w:rsidR="008B3E76" w:rsidRPr="003C18CF" w:rsidRDefault="008B3E76" w:rsidP="008C40D5">
            <w:pPr>
              <w:jc w:val="center"/>
              <w:rPr>
                <w:b/>
                <w:sz w:val="20"/>
                <w:szCs w:val="20"/>
              </w:rPr>
            </w:pPr>
            <w:r w:rsidRPr="003C18CF">
              <w:rPr>
                <w:b/>
                <w:sz w:val="20"/>
                <w:szCs w:val="20"/>
              </w:rPr>
              <w:t>(SUBÜ - SAÜ)</w:t>
            </w:r>
          </w:p>
        </w:tc>
        <w:tc>
          <w:tcPr>
            <w:tcW w:w="1288" w:type="dxa"/>
            <w:shd w:val="clear" w:color="auto" w:fill="9CC2E5" w:themeFill="accent1" w:themeFillTint="99"/>
            <w:vAlign w:val="center"/>
          </w:tcPr>
          <w:p w:rsidR="008B3E76" w:rsidRPr="003C18CF" w:rsidRDefault="008B3E76" w:rsidP="008C40D5">
            <w:pPr>
              <w:jc w:val="center"/>
              <w:rPr>
                <w:b/>
                <w:sz w:val="20"/>
                <w:szCs w:val="20"/>
              </w:rPr>
            </w:pPr>
          </w:p>
          <w:p w:rsidR="008B3E76" w:rsidRPr="003C18CF" w:rsidRDefault="008B3E76" w:rsidP="008C40D5">
            <w:pPr>
              <w:jc w:val="center"/>
              <w:rPr>
                <w:b/>
                <w:sz w:val="20"/>
                <w:szCs w:val="20"/>
              </w:rPr>
            </w:pPr>
            <w:r w:rsidRPr="003C18CF">
              <w:rPr>
                <w:b/>
                <w:sz w:val="20"/>
                <w:szCs w:val="20"/>
              </w:rPr>
              <w:t xml:space="preserve">YDS - YÖKDİL – </w:t>
            </w:r>
            <w:r w:rsidRPr="003C18CF">
              <w:rPr>
                <w:b/>
                <w:sz w:val="20"/>
                <w:szCs w:val="20"/>
              </w:rPr>
              <w:br/>
              <w:t>EYDS – EYÖKDİL – ÜDS - KPDS</w:t>
            </w:r>
          </w:p>
          <w:p w:rsidR="008B3E76" w:rsidRPr="003C18CF" w:rsidRDefault="008B3E76" w:rsidP="008C40D5">
            <w:pPr>
              <w:jc w:val="center"/>
              <w:rPr>
                <w:b/>
                <w:sz w:val="20"/>
                <w:szCs w:val="20"/>
              </w:rPr>
            </w:pPr>
          </w:p>
        </w:tc>
        <w:tc>
          <w:tcPr>
            <w:tcW w:w="947" w:type="dxa"/>
            <w:shd w:val="clear" w:color="auto" w:fill="9CC2E5" w:themeFill="accent1" w:themeFillTint="99"/>
            <w:vAlign w:val="center"/>
          </w:tcPr>
          <w:p w:rsidR="008B3E76" w:rsidRPr="003C18CF" w:rsidRDefault="008B3E76" w:rsidP="008C40D5">
            <w:pPr>
              <w:jc w:val="center"/>
              <w:rPr>
                <w:b/>
                <w:sz w:val="20"/>
                <w:szCs w:val="20"/>
              </w:rPr>
            </w:pPr>
            <w:r w:rsidRPr="003C18CF">
              <w:rPr>
                <w:b/>
                <w:sz w:val="20"/>
                <w:szCs w:val="20"/>
              </w:rPr>
              <w:t>TOEFL</w:t>
            </w:r>
          </w:p>
          <w:p w:rsidR="008B3E76" w:rsidRPr="003C18CF" w:rsidRDefault="008B3E76" w:rsidP="008C40D5">
            <w:pPr>
              <w:jc w:val="center"/>
              <w:rPr>
                <w:b/>
                <w:sz w:val="20"/>
                <w:szCs w:val="20"/>
              </w:rPr>
            </w:pPr>
            <w:r w:rsidRPr="003C18CF">
              <w:rPr>
                <w:b/>
                <w:sz w:val="20"/>
                <w:szCs w:val="20"/>
              </w:rPr>
              <w:t>İBT</w:t>
            </w:r>
          </w:p>
        </w:tc>
        <w:tc>
          <w:tcPr>
            <w:tcW w:w="1129" w:type="dxa"/>
            <w:shd w:val="clear" w:color="auto" w:fill="9CC2E5" w:themeFill="accent1" w:themeFillTint="99"/>
            <w:vAlign w:val="center"/>
          </w:tcPr>
          <w:p w:rsidR="008B3E76" w:rsidRPr="003C18CF" w:rsidRDefault="008B3E76" w:rsidP="008C40D5">
            <w:pPr>
              <w:jc w:val="center"/>
              <w:rPr>
                <w:b/>
                <w:sz w:val="20"/>
                <w:szCs w:val="20"/>
              </w:rPr>
            </w:pPr>
            <w:r w:rsidRPr="003C18CF">
              <w:rPr>
                <w:b/>
                <w:sz w:val="20"/>
                <w:szCs w:val="20"/>
              </w:rPr>
              <w:t>PTE</w:t>
            </w:r>
          </w:p>
          <w:p w:rsidR="008B3E76" w:rsidRPr="003C18CF" w:rsidRDefault="008B3E76" w:rsidP="008C40D5">
            <w:pPr>
              <w:jc w:val="center"/>
              <w:rPr>
                <w:b/>
                <w:sz w:val="20"/>
                <w:szCs w:val="20"/>
              </w:rPr>
            </w:pPr>
            <w:proofErr w:type="spellStart"/>
            <w:r w:rsidRPr="003C18CF">
              <w:rPr>
                <w:b/>
                <w:sz w:val="20"/>
                <w:szCs w:val="20"/>
              </w:rPr>
              <w:t>Academic</w:t>
            </w:r>
            <w:proofErr w:type="spellEnd"/>
          </w:p>
        </w:tc>
        <w:tc>
          <w:tcPr>
            <w:tcW w:w="1160" w:type="dxa"/>
            <w:shd w:val="clear" w:color="auto" w:fill="9CC2E5" w:themeFill="accent1" w:themeFillTint="99"/>
            <w:vAlign w:val="center"/>
          </w:tcPr>
          <w:p w:rsidR="008B3E76" w:rsidRPr="003C18CF" w:rsidRDefault="008B3E76" w:rsidP="008C40D5">
            <w:pPr>
              <w:jc w:val="center"/>
              <w:rPr>
                <w:b/>
                <w:sz w:val="20"/>
                <w:szCs w:val="20"/>
              </w:rPr>
            </w:pPr>
          </w:p>
          <w:p w:rsidR="008B3E76" w:rsidRPr="003C18CF" w:rsidRDefault="008B3E76" w:rsidP="008C40D5">
            <w:pPr>
              <w:jc w:val="center"/>
              <w:rPr>
                <w:b/>
                <w:sz w:val="20"/>
                <w:szCs w:val="20"/>
              </w:rPr>
            </w:pPr>
            <w:r w:rsidRPr="003C18CF">
              <w:rPr>
                <w:b/>
                <w:sz w:val="20"/>
                <w:szCs w:val="20"/>
              </w:rPr>
              <w:t>SAYEM</w:t>
            </w:r>
          </w:p>
          <w:p w:rsidR="008B3E76" w:rsidRPr="003C18CF" w:rsidRDefault="008B3E76" w:rsidP="008C40D5">
            <w:pPr>
              <w:jc w:val="center"/>
              <w:rPr>
                <w:b/>
                <w:sz w:val="20"/>
                <w:szCs w:val="20"/>
              </w:rPr>
            </w:pPr>
          </w:p>
        </w:tc>
        <w:tc>
          <w:tcPr>
            <w:tcW w:w="984" w:type="dxa"/>
            <w:shd w:val="clear" w:color="auto" w:fill="9CC2E5" w:themeFill="accent1" w:themeFillTint="99"/>
            <w:vAlign w:val="center"/>
          </w:tcPr>
          <w:p w:rsidR="008B3E76" w:rsidRPr="003C18CF" w:rsidRDefault="008B3E76" w:rsidP="008C40D5">
            <w:pPr>
              <w:jc w:val="center"/>
              <w:rPr>
                <w:b/>
                <w:sz w:val="20"/>
                <w:szCs w:val="20"/>
              </w:rPr>
            </w:pPr>
            <w:r w:rsidRPr="003C18CF">
              <w:rPr>
                <w:b/>
                <w:sz w:val="20"/>
                <w:szCs w:val="20"/>
              </w:rPr>
              <w:t>IELTS</w:t>
            </w:r>
          </w:p>
        </w:tc>
        <w:tc>
          <w:tcPr>
            <w:tcW w:w="992" w:type="dxa"/>
            <w:shd w:val="clear" w:color="auto" w:fill="9CC2E5" w:themeFill="accent1" w:themeFillTint="99"/>
            <w:vAlign w:val="center"/>
          </w:tcPr>
          <w:p w:rsidR="008B3E76" w:rsidRPr="003C18CF" w:rsidRDefault="008B3E76" w:rsidP="008C40D5">
            <w:pPr>
              <w:jc w:val="center"/>
              <w:rPr>
                <w:b/>
                <w:sz w:val="20"/>
                <w:szCs w:val="20"/>
              </w:rPr>
            </w:pPr>
            <w:r w:rsidRPr="003C18CF">
              <w:rPr>
                <w:b/>
                <w:sz w:val="20"/>
                <w:szCs w:val="20"/>
              </w:rPr>
              <w:t>Erasmus Yabancı Dil Sınavı</w:t>
            </w:r>
          </w:p>
        </w:tc>
      </w:tr>
      <w:tr w:rsidR="008B3E76" w:rsidTr="008C40D5">
        <w:trPr>
          <w:gridAfter w:val="1"/>
          <w:wAfter w:w="6" w:type="dxa"/>
          <w:trHeight w:val="186"/>
        </w:trPr>
        <w:tc>
          <w:tcPr>
            <w:tcW w:w="1303" w:type="dxa"/>
            <w:shd w:val="clear" w:color="auto" w:fill="BDD6EE" w:themeFill="accent1" w:themeFillTint="66"/>
            <w:vAlign w:val="center"/>
          </w:tcPr>
          <w:p w:rsidR="008B3E76" w:rsidRPr="003C18CF" w:rsidRDefault="008B3E76" w:rsidP="008C40D5">
            <w:pPr>
              <w:jc w:val="center"/>
              <w:rPr>
                <w:b/>
                <w:sz w:val="20"/>
                <w:szCs w:val="20"/>
              </w:rPr>
            </w:pPr>
            <w:r w:rsidRPr="003C18CF">
              <w:rPr>
                <w:b/>
                <w:sz w:val="20"/>
                <w:szCs w:val="20"/>
              </w:rPr>
              <w:t>(Geçerlilik Süreleri)</w:t>
            </w:r>
          </w:p>
        </w:tc>
        <w:tc>
          <w:tcPr>
            <w:tcW w:w="1447" w:type="dxa"/>
            <w:shd w:val="clear" w:color="auto" w:fill="BDD6EE" w:themeFill="accent1" w:themeFillTint="66"/>
            <w:vAlign w:val="center"/>
          </w:tcPr>
          <w:p w:rsidR="008B3E76" w:rsidRPr="003C18CF" w:rsidRDefault="008B3E76" w:rsidP="008C40D5">
            <w:pPr>
              <w:jc w:val="center"/>
              <w:rPr>
                <w:sz w:val="20"/>
                <w:szCs w:val="20"/>
              </w:rPr>
            </w:pPr>
            <w:r w:rsidRPr="003C18CF">
              <w:rPr>
                <w:sz w:val="20"/>
                <w:szCs w:val="20"/>
              </w:rPr>
              <w:t>(Öğrenim boyunca geçerlidir.)</w:t>
            </w:r>
          </w:p>
        </w:tc>
        <w:tc>
          <w:tcPr>
            <w:tcW w:w="1288" w:type="dxa"/>
            <w:shd w:val="clear" w:color="auto" w:fill="BDD6EE" w:themeFill="accent1" w:themeFillTint="66"/>
            <w:vAlign w:val="center"/>
          </w:tcPr>
          <w:p w:rsidR="008B3E76" w:rsidRPr="003C18CF" w:rsidRDefault="008B3E76" w:rsidP="008C40D5">
            <w:pPr>
              <w:jc w:val="center"/>
              <w:rPr>
                <w:sz w:val="20"/>
                <w:szCs w:val="20"/>
              </w:rPr>
            </w:pPr>
            <w:r w:rsidRPr="003C18CF">
              <w:rPr>
                <w:sz w:val="20"/>
                <w:szCs w:val="20"/>
              </w:rPr>
              <w:t>(5 yıl)</w:t>
            </w:r>
          </w:p>
        </w:tc>
        <w:tc>
          <w:tcPr>
            <w:tcW w:w="947" w:type="dxa"/>
            <w:shd w:val="clear" w:color="auto" w:fill="BDD6EE" w:themeFill="accent1" w:themeFillTint="66"/>
            <w:vAlign w:val="center"/>
          </w:tcPr>
          <w:p w:rsidR="008B3E76" w:rsidRPr="003C18CF" w:rsidRDefault="008B3E76" w:rsidP="008C40D5">
            <w:pPr>
              <w:jc w:val="center"/>
              <w:rPr>
                <w:sz w:val="20"/>
                <w:szCs w:val="20"/>
              </w:rPr>
            </w:pPr>
            <w:r w:rsidRPr="003C18CF">
              <w:rPr>
                <w:sz w:val="20"/>
                <w:szCs w:val="20"/>
              </w:rPr>
              <w:t>(5 yıl)</w:t>
            </w:r>
          </w:p>
        </w:tc>
        <w:tc>
          <w:tcPr>
            <w:tcW w:w="1129" w:type="dxa"/>
            <w:shd w:val="clear" w:color="auto" w:fill="BDD6EE" w:themeFill="accent1" w:themeFillTint="66"/>
            <w:vAlign w:val="center"/>
          </w:tcPr>
          <w:p w:rsidR="008B3E76" w:rsidRPr="003C18CF" w:rsidRDefault="008B3E76" w:rsidP="008C40D5">
            <w:pPr>
              <w:jc w:val="center"/>
              <w:rPr>
                <w:sz w:val="20"/>
                <w:szCs w:val="20"/>
              </w:rPr>
            </w:pPr>
            <w:r w:rsidRPr="003C18CF">
              <w:rPr>
                <w:sz w:val="20"/>
                <w:szCs w:val="20"/>
              </w:rPr>
              <w:t>(5 yıl)</w:t>
            </w:r>
          </w:p>
        </w:tc>
        <w:tc>
          <w:tcPr>
            <w:tcW w:w="1160" w:type="dxa"/>
            <w:shd w:val="clear" w:color="auto" w:fill="BDD6EE" w:themeFill="accent1" w:themeFillTint="66"/>
            <w:vAlign w:val="center"/>
          </w:tcPr>
          <w:p w:rsidR="008B3E76" w:rsidRPr="003C18CF" w:rsidRDefault="008B3E76" w:rsidP="008C40D5">
            <w:pPr>
              <w:jc w:val="center"/>
              <w:rPr>
                <w:sz w:val="20"/>
                <w:szCs w:val="20"/>
              </w:rPr>
            </w:pPr>
            <w:r w:rsidRPr="003C18CF">
              <w:rPr>
                <w:sz w:val="20"/>
                <w:szCs w:val="20"/>
              </w:rPr>
              <w:t>(1 yıl)</w:t>
            </w:r>
          </w:p>
        </w:tc>
        <w:tc>
          <w:tcPr>
            <w:tcW w:w="984" w:type="dxa"/>
            <w:shd w:val="clear" w:color="auto" w:fill="BDD6EE" w:themeFill="accent1" w:themeFillTint="66"/>
            <w:vAlign w:val="center"/>
          </w:tcPr>
          <w:p w:rsidR="008B3E76" w:rsidRPr="003C18CF" w:rsidRDefault="008B3E76" w:rsidP="008C40D5">
            <w:pPr>
              <w:jc w:val="center"/>
              <w:rPr>
                <w:sz w:val="20"/>
                <w:szCs w:val="20"/>
              </w:rPr>
            </w:pPr>
            <w:r w:rsidRPr="003C18CF">
              <w:rPr>
                <w:sz w:val="20"/>
                <w:szCs w:val="20"/>
              </w:rPr>
              <w:t>(5 yıl)</w:t>
            </w:r>
          </w:p>
        </w:tc>
        <w:tc>
          <w:tcPr>
            <w:tcW w:w="992" w:type="dxa"/>
            <w:shd w:val="clear" w:color="auto" w:fill="BDD6EE" w:themeFill="accent1" w:themeFillTint="66"/>
            <w:vAlign w:val="center"/>
          </w:tcPr>
          <w:p w:rsidR="008B3E76" w:rsidRPr="003C18CF" w:rsidRDefault="008B3E76" w:rsidP="008C40D5">
            <w:pPr>
              <w:jc w:val="center"/>
              <w:rPr>
                <w:sz w:val="20"/>
                <w:szCs w:val="20"/>
              </w:rPr>
            </w:pPr>
            <w:r w:rsidRPr="003C18CF">
              <w:rPr>
                <w:sz w:val="20"/>
                <w:szCs w:val="20"/>
              </w:rPr>
              <w:t>(1 yıl)</w:t>
            </w:r>
          </w:p>
        </w:tc>
      </w:tr>
      <w:tr w:rsidR="008B3E76" w:rsidTr="008945C5">
        <w:trPr>
          <w:gridAfter w:val="1"/>
          <w:wAfter w:w="6" w:type="dxa"/>
          <w:trHeight w:val="402"/>
        </w:trPr>
        <w:tc>
          <w:tcPr>
            <w:tcW w:w="1303" w:type="dxa"/>
            <w:shd w:val="clear" w:color="auto" w:fill="F4B083" w:themeFill="accent2" w:themeFillTint="99"/>
            <w:vAlign w:val="center"/>
          </w:tcPr>
          <w:p w:rsidR="008B3E76" w:rsidRPr="003C18CF" w:rsidRDefault="008B3E76" w:rsidP="008C40D5">
            <w:pPr>
              <w:jc w:val="center"/>
              <w:rPr>
                <w:sz w:val="18"/>
                <w:szCs w:val="18"/>
              </w:rPr>
            </w:pPr>
            <w:r w:rsidRPr="003C18CF">
              <w:rPr>
                <w:sz w:val="18"/>
                <w:szCs w:val="18"/>
              </w:rPr>
              <w:t>A1</w:t>
            </w:r>
          </w:p>
        </w:tc>
        <w:tc>
          <w:tcPr>
            <w:tcW w:w="1447" w:type="dxa"/>
            <w:shd w:val="clear" w:color="auto" w:fill="F4B083" w:themeFill="accent2" w:themeFillTint="99"/>
            <w:vAlign w:val="center"/>
          </w:tcPr>
          <w:p w:rsidR="008B3E76" w:rsidRPr="003C18CF" w:rsidRDefault="008B3E76" w:rsidP="008C40D5">
            <w:pPr>
              <w:jc w:val="center"/>
              <w:rPr>
                <w:sz w:val="18"/>
                <w:szCs w:val="18"/>
              </w:rPr>
            </w:pPr>
            <w:r w:rsidRPr="003C18CF">
              <w:rPr>
                <w:sz w:val="18"/>
                <w:szCs w:val="18"/>
              </w:rPr>
              <w:t>20-49</w:t>
            </w:r>
          </w:p>
        </w:tc>
        <w:tc>
          <w:tcPr>
            <w:tcW w:w="1288" w:type="dxa"/>
            <w:shd w:val="clear" w:color="auto" w:fill="F4B083" w:themeFill="accent2" w:themeFillTint="99"/>
            <w:vAlign w:val="center"/>
          </w:tcPr>
          <w:p w:rsidR="008B3E76" w:rsidRPr="003C18CF" w:rsidRDefault="008B3E76" w:rsidP="008C40D5">
            <w:pPr>
              <w:jc w:val="center"/>
              <w:rPr>
                <w:sz w:val="18"/>
                <w:szCs w:val="18"/>
              </w:rPr>
            </w:pPr>
            <w:r w:rsidRPr="003C18CF">
              <w:rPr>
                <w:sz w:val="18"/>
                <w:szCs w:val="18"/>
              </w:rPr>
              <w:t>30</w:t>
            </w:r>
          </w:p>
        </w:tc>
        <w:tc>
          <w:tcPr>
            <w:tcW w:w="947" w:type="dxa"/>
            <w:shd w:val="clear" w:color="auto" w:fill="F4B083" w:themeFill="accent2" w:themeFillTint="99"/>
            <w:vAlign w:val="center"/>
          </w:tcPr>
          <w:p w:rsidR="008B3E76" w:rsidRPr="003C18CF" w:rsidRDefault="008B3E76" w:rsidP="008C40D5">
            <w:pPr>
              <w:jc w:val="center"/>
              <w:rPr>
                <w:sz w:val="18"/>
                <w:szCs w:val="18"/>
              </w:rPr>
            </w:pPr>
            <w:r w:rsidRPr="003C18CF">
              <w:rPr>
                <w:sz w:val="18"/>
                <w:szCs w:val="18"/>
              </w:rPr>
              <w:t>-</w:t>
            </w:r>
          </w:p>
        </w:tc>
        <w:tc>
          <w:tcPr>
            <w:tcW w:w="1129" w:type="dxa"/>
            <w:shd w:val="clear" w:color="auto" w:fill="F4B083" w:themeFill="accent2" w:themeFillTint="99"/>
            <w:vAlign w:val="center"/>
          </w:tcPr>
          <w:p w:rsidR="008B3E76" w:rsidRPr="003C18CF" w:rsidRDefault="008B3E76" w:rsidP="008C40D5">
            <w:pPr>
              <w:jc w:val="center"/>
              <w:rPr>
                <w:sz w:val="18"/>
                <w:szCs w:val="18"/>
              </w:rPr>
            </w:pPr>
            <w:r w:rsidRPr="003C18CF">
              <w:rPr>
                <w:sz w:val="18"/>
                <w:szCs w:val="18"/>
              </w:rPr>
              <w:t>-</w:t>
            </w:r>
          </w:p>
        </w:tc>
        <w:tc>
          <w:tcPr>
            <w:tcW w:w="1160" w:type="dxa"/>
            <w:shd w:val="clear" w:color="auto" w:fill="F4B083" w:themeFill="accent2" w:themeFillTint="99"/>
            <w:vAlign w:val="center"/>
          </w:tcPr>
          <w:p w:rsidR="008B3E76" w:rsidRPr="003C18CF" w:rsidRDefault="008B3E76" w:rsidP="008C40D5">
            <w:pPr>
              <w:jc w:val="center"/>
              <w:rPr>
                <w:sz w:val="18"/>
                <w:szCs w:val="18"/>
              </w:rPr>
            </w:pPr>
            <w:r w:rsidRPr="003C18CF">
              <w:rPr>
                <w:sz w:val="18"/>
                <w:szCs w:val="18"/>
              </w:rPr>
              <w:t>A1 / 20-49</w:t>
            </w:r>
          </w:p>
        </w:tc>
        <w:tc>
          <w:tcPr>
            <w:tcW w:w="984" w:type="dxa"/>
            <w:shd w:val="clear" w:color="auto" w:fill="F4B083" w:themeFill="accent2" w:themeFillTint="99"/>
            <w:vAlign w:val="center"/>
          </w:tcPr>
          <w:p w:rsidR="008B3E76" w:rsidRPr="003C18CF" w:rsidRDefault="008B3E76" w:rsidP="008C40D5">
            <w:pPr>
              <w:jc w:val="center"/>
              <w:rPr>
                <w:sz w:val="18"/>
                <w:szCs w:val="18"/>
              </w:rPr>
            </w:pPr>
          </w:p>
        </w:tc>
        <w:tc>
          <w:tcPr>
            <w:tcW w:w="992" w:type="dxa"/>
            <w:shd w:val="clear" w:color="auto" w:fill="F4B083" w:themeFill="accent2" w:themeFillTint="99"/>
            <w:vAlign w:val="center"/>
          </w:tcPr>
          <w:p w:rsidR="008B3E76" w:rsidRPr="003C18CF" w:rsidRDefault="008B3E76" w:rsidP="008C40D5">
            <w:pPr>
              <w:jc w:val="center"/>
              <w:rPr>
                <w:sz w:val="18"/>
                <w:szCs w:val="18"/>
              </w:rPr>
            </w:pPr>
          </w:p>
        </w:tc>
      </w:tr>
      <w:tr w:rsidR="008B3E76" w:rsidTr="008945C5">
        <w:trPr>
          <w:gridAfter w:val="1"/>
          <w:wAfter w:w="6" w:type="dxa"/>
          <w:trHeight w:val="319"/>
        </w:trPr>
        <w:tc>
          <w:tcPr>
            <w:tcW w:w="1303" w:type="dxa"/>
            <w:shd w:val="clear" w:color="auto" w:fill="C5E0B3" w:themeFill="accent6" w:themeFillTint="66"/>
            <w:vAlign w:val="center"/>
          </w:tcPr>
          <w:p w:rsidR="008B3E76" w:rsidRPr="003C18CF" w:rsidRDefault="008B3E76" w:rsidP="008C40D5">
            <w:pPr>
              <w:jc w:val="center"/>
              <w:rPr>
                <w:sz w:val="18"/>
                <w:szCs w:val="18"/>
              </w:rPr>
            </w:pPr>
            <w:r w:rsidRPr="003C18CF">
              <w:rPr>
                <w:sz w:val="18"/>
                <w:szCs w:val="18"/>
              </w:rPr>
              <w:t>A2</w:t>
            </w:r>
          </w:p>
        </w:tc>
        <w:tc>
          <w:tcPr>
            <w:tcW w:w="1447" w:type="dxa"/>
            <w:shd w:val="clear" w:color="auto" w:fill="C5E0B3" w:themeFill="accent6" w:themeFillTint="66"/>
            <w:vAlign w:val="center"/>
          </w:tcPr>
          <w:p w:rsidR="008B3E76" w:rsidRPr="003C18CF" w:rsidRDefault="008B3E76" w:rsidP="008C40D5">
            <w:pPr>
              <w:jc w:val="center"/>
              <w:rPr>
                <w:sz w:val="18"/>
                <w:szCs w:val="18"/>
              </w:rPr>
            </w:pPr>
            <w:r w:rsidRPr="003C18CF">
              <w:rPr>
                <w:sz w:val="18"/>
                <w:szCs w:val="18"/>
              </w:rPr>
              <w:t>50-64</w:t>
            </w:r>
          </w:p>
        </w:tc>
        <w:tc>
          <w:tcPr>
            <w:tcW w:w="1288" w:type="dxa"/>
            <w:shd w:val="clear" w:color="auto" w:fill="C5E0B3" w:themeFill="accent6" w:themeFillTint="66"/>
            <w:vAlign w:val="center"/>
          </w:tcPr>
          <w:p w:rsidR="008B3E76" w:rsidRPr="003C18CF" w:rsidRDefault="008B3E76" w:rsidP="008C40D5">
            <w:pPr>
              <w:jc w:val="center"/>
              <w:rPr>
                <w:sz w:val="18"/>
                <w:szCs w:val="18"/>
              </w:rPr>
            </w:pPr>
            <w:r w:rsidRPr="003C18CF">
              <w:rPr>
                <w:sz w:val="18"/>
                <w:szCs w:val="18"/>
              </w:rPr>
              <w:t>45</w:t>
            </w:r>
          </w:p>
        </w:tc>
        <w:tc>
          <w:tcPr>
            <w:tcW w:w="947" w:type="dxa"/>
            <w:shd w:val="clear" w:color="auto" w:fill="C5E0B3" w:themeFill="accent6" w:themeFillTint="66"/>
            <w:vAlign w:val="center"/>
          </w:tcPr>
          <w:p w:rsidR="008B3E76" w:rsidRPr="003C18CF" w:rsidRDefault="008B3E76" w:rsidP="008C40D5">
            <w:pPr>
              <w:jc w:val="center"/>
              <w:rPr>
                <w:sz w:val="18"/>
                <w:szCs w:val="18"/>
              </w:rPr>
            </w:pPr>
            <w:r w:rsidRPr="003C18CF">
              <w:rPr>
                <w:sz w:val="18"/>
                <w:szCs w:val="18"/>
              </w:rPr>
              <w:t>54</w:t>
            </w:r>
          </w:p>
        </w:tc>
        <w:tc>
          <w:tcPr>
            <w:tcW w:w="1129" w:type="dxa"/>
            <w:shd w:val="clear" w:color="auto" w:fill="C5E0B3" w:themeFill="accent6" w:themeFillTint="66"/>
            <w:vAlign w:val="center"/>
          </w:tcPr>
          <w:p w:rsidR="008B3E76" w:rsidRPr="003C18CF" w:rsidRDefault="008B3E76" w:rsidP="008C40D5">
            <w:pPr>
              <w:jc w:val="center"/>
              <w:rPr>
                <w:sz w:val="18"/>
                <w:szCs w:val="18"/>
              </w:rPr>
            </w:pPr>
            <w:r w:rsidRPr="003C18CF">
              <w:rPr>
                <w:sz w:val="18"/>
                <w:szCs w:val="18"/>
              </w:rPr>
              <w:t>38</w:t>
            </w:r>
          </w:p>
        </w:tc>
        <w:tc>
          <w:tcPr>
            <w:tcW w:w="1160" w:type="dxa"/>
            <w:shd w:val="clear" w:color="auto" w:fill="C5E0B3" w:themeFill="accent6" w:themeFillTint="66"/>
            <w:vAlign w:val="center"/>
          </w:tcPr>
          <w:p w:rsidR="008B3E76" w:rsidRPr="003C18CF" w:rsidRDefault="008B3E76" w:rsidP="008C40D5">
            <w:pPr>
              <w:jc w:val="center"/>
              <w:rPr>
                <w:sz w:val="18"/>
                <w:szCs w:val="18"/>
              </w:rPr>
            </w:pPr>
            <w:r w:rsidRPr="003C18CF">
              <w:rPr>
                <w:sz w:val="18"/>
                <w:szCs w:val="18"/>
              </w:rPr>
              <w:t>A2 / 50-64</w:t>
            </w:r>
          </w:p>
        </w:tc>
        <w:tc>
          <w:tcPr>
            <w:tcW w:w="984" w:type="dxa"/>
            <w:shd w:val="clear" w:color="auto" w:fill="C5E0B3" w:themeFill="accent6" w:themeFillTint="66"/>
            <w:vAlign w:val="center"/>
          </w:tcPr>
          <w:p w:rsidR="008B3E76" w:rsidRPr="003C18CF" w:rsidRDefault="008B3E76" w:rsidP="008C40D5">
            <w:pPr>
              <w:jc w:val="center"/>
              <w:rPr>
                <w:sz w:val="18"/>
                <w:szCs w:val="18"/>
              </w:rPr>
            </w:pPr>
            <w:r w:rsidRPr="003C18CF">
              <w:rPr>
                <w:sz w:val="18"/>
                <w:szCs w:val="18"/>
              </w:rPr>
              <w:t>5,5</w:t>
            </w:r>
          </w:p>
        </w:tc>
        <w:tc>
          <w:tcPr>
            <w:tcW w:w="992" w:type="dxa"/>
            <w:shd w:val="clear" w:color="auto" w:fill="C5E0B3" w:themeFill="accent6" w:themeFillTint="66"/>
            <w:vAlign w:val="center"/>
          </w:tcPr>
          <w:p w:rsidR="008B3E76" w:rsidRPr="003C18CF" w:rsidRDefault="008B3E76" w:rsidP="008C40D5">
            <w:pPr>
              <w:jc w:val="center"/>
              <w:rPr>
                <w:sz w:val="18"/>
                <w:szCs w:val="18"/>
              </w:rPr>
            </w:pPr>
            <w:r w:rsidRPr="003C18CF">
              <w:rPr>
                <w:sz w:val="18"/>
                <w:szCs w:val="18"/>
              </w:rPr>
              <w:t>50</w:t>
            </w:r>
          </w:p>
        </w:tc>
      </w:tr>
      <w:tr w:rsidR="008B3E76" w:rsidTr="008945C5">
        <w:trPr>
          <w:gridAfter w:val="1"/>
          <w:wAfter w:w="6" w:type="dxa"/>
          <w:trHeight w:val="383"/>
        </w:trPr>
        <w:tc>
          <w:tcPr>
            <w:tcW w:w="1303" w:type="dxa"/>
            <w:shd w:val="clear" w:color="auto" w:fill="C5E0B3" w:themeFill="accent6" w:themeFillTint="66"/>
            <w:vAlign w:val="center"/>
          </w:tcPr>
          <w:p w:rsidR="008B3E76" w:rsidRPr="003C18CF" w:rsidRDefault="008B3E76" w:rsidP="008C40D5">
            <w:pPr>
              <w:jc w:val="center"/>
              <w:rPr>
                <w:sz w:val="18"/>
                <w:szCs w:val="18"/>
              </w:rPr>
            </w:pPr>
            <w:r w:rsidRPr="003C18CF">
              <w:rPr>
                <w:sz w:val="18"/>
                <w:szCs w:val="18"/>
              </w:rPr>
              <w:t>B1</w:t>
            </w:r>
          </w:p>
        </w:tc>
        <w:tc>
          <w:tcPr>
            <w:tcW w:w="1447" w:type="dxa"/>
            <w:shd w:val="clear" w:color="auto" w:fill="C5E0B3" w:themeFill="accent6" w:themeFillTint="66"/>
            <w:vAlign w:val="center"/>
          </w:tcPr>
          <w:p w:rsidR="008B3E76" w:rsidRPr="003C18CF" w:rsidRDefault="008B3E76" w:rsidP="008C40D5">
            <w:pPr>
              <w:jc w:val="center"/>
              <w:rPr>
                <w:sz w:val="18"/>
                <w:szCs w:val="18"/>
              </w:rPr>
            </w:pPr>
            <w:r w:rsidRPr="003C18CF">
              <w:rPr>
                <w:sz w:val="18"/>
                <w:szCs w:val="18"/>
              </w:rPr>
              <w:t>65-74</w:t>
            </w:r>
          </w:p>
        </w:tc>
        <w:tc>
          <w:tcPr>
            <w:tcW w:w="1288" w:type="dxa"/>
            <w:shd w:val="clear" w:color="auto" w:fill="C5E0B3" w:themeFill="accent6" w:themeFillTint="66"/>
            <w:vAlign w:val="center"/>
          </w:tcPr>
          <w:p w:rsidR="008B3E76" w:rsidRPr="003C18CF" w:rsidRDefault="008B3E76" w:rsidP="008C40D5">
            <w:pPr>
              <w:jc w:val="center"/>
              <w:rPr>
                <w:sz w:val="18"/>
                <w:szCs w:val="18"/>
              </w:rPr>
            </w:pPr>
            <w:r w:rsidRPr="003C18CF">
              <w:rPr>
                <w:sz w:val="18"/>
                <w:szCs w:val="18"/>
              </w:rPr>
              <w:t>60</w:t>
            </w:r>
          </w:p>
        </w:tc>
        <w:tc>
          <w:tcPr>
            <w:tcW w:w="947" w:type="dxa"/>
            <w:shd w:val="clear" w:color="auto" w:fill="C5E0B3" w:themeFill="accent6" w:themeFillTint="66"/>
            <w:vAlign w:val="center"/>
          </w:tcPr>
          <w:p w:rsidR="008B3E76" w:rsidRPr="003C18CF" w:rsidRDefault="008B3E76" w:rsidP="008C40D5">
            <w:pPr>
              <w:jc w:val="center"/>
              <w:rPr>
                <w:sz w:val="18"/>
                <w:szCs w:val="18"/>
              </w:rPr>
            </w:pPr>
            <w:r w:rsidRPr="003C18CF">
              <w:rPr>
                <w:sz w:val="18"/>
                <w:szCs w:val="18"/>
              </w:rPr>
              <w:t>72</w:t>
            </w:r>
          </w:p>
        </w:tc>
        <w:tc>
          <w:tcPr>
            <w:tcW w:w="1129" w:type="dxa"/>
            <w:shd w:val="clear" w:color="auto" w:fill="C5E0B3" w:themeFill="accent6" w:themeFillTint="66"/>
            <w:vAlign w:val="center"/>
          </w:tcPr>
          <w:p w:rsidR="008B3E76" w:rsidRPr="003C18CF" w:rsidRDefault="008B3E76" w:rsidP="008C40D5">
            <w:pPr>
              <w:jc w:val="center"/>
              <w:rPr>
                <w:sz w:val="18"/>
                <w:szCs w:val="18"/>
              </w:rPr>
            </w:pPr>
            <w:r w:rsidRPr="003C18CF">
              <w:rPr>
                <w:sz w:val="18"/>
                <w:szCs w:val="18"/>
              </w:rPr>
              <w:t>55</w:t>
            </w:r>
          </w:p>
        </w:tc>
        <w:tc>
          <w:tcPr>
            <w:tcW w:w="1160" w:type="dxa"/>
            <w:shd w:val="clear" w:color="auto" w:fill="C5E0B3" w:themeFill="accent6" w:themeFillTint="66"/>
            <w:vAlign w:val="center"/>
          </w:tcPr>
          <w:p w:rsidR="008B3E76" w:rsidRPr="003C18CF" w:rsidRDefault="008B3E76" w:rsidP="008C40D5">
            <w:pPr>
              <w:jc w:val="center"/>
              <w:rPr>
                <w:sz w:val="18"/>
                <w:szCs w:val="18"/>
              </w:rPr>
            </w:pPr>
            <w:r w:rsidRPr="003C18CF">
              <w:rPr>
                <w:sz w:val="18"/>
                <w:szCs w:val="18"/>
              </w:rPr>
              <w:t>B1 / 65-74</w:t>
            </w:r>
          </w:p>
        </w:tc>
        <w:tc>
          <w:tcPr>
            <w:tcW w:w="984" w:type="dxa"/>
            <w:shd w:val="clear" w:color="auto" w:fill="C5E0B3" w:themeFill="accent6" w:themeFillTint="66"/>
            <w:vAlign w:val="center"/>
          </w:tcPr>
          <w:p w:rsidR="008B3E76" w:rsidRPr="003C18CF" w:rsidRDefault="008B3E76" w:rsidP="008C40D5">
            <w:pPr>
              <w:jc w:val="center"/>
              <w:rPr>
                <w:sz w:val="18"/>
                <w:szCs w:val="18"/>
              </w:rPr>
            </w:pPr>
            <w:r w:rsidRPr="003C18CF">
              <w:rPr>
                <w:sz w:val="18"/>
                <w:szCs w:val="18"/>
              </w:rPr>
              <w:t>6</w:t>
            </w:r>
          </w:p>
        </w:tc>
        <w:tc>
          <w:tcPr>
            <w:tcW w:w="992" w:type="dxa"/>
            <w:shd w:val="clear" w:color="auto" w:fill="C5E0B3" w:themeFill="accent6" w:themeFillTint="66"/>
            <w:vAlign w:val="center"/>
          </w:tcPr>
          <w:p w:rsidR="008B3E76" w:rsidRPr="003C18CF" w:rsidRDefault="008B3E76" w:rsidP="008C40D5">
            <w:pPr>
              <w:jc w:val="center"/>
              <w:rPr>
                <w:sz w:val="18"/>
                <w:szCs w:val="18"/>
              </w:rPr>
            </w:pPr>
            <w:r w:rsidRPr="003C18CF">
              <w:rPr>
                <w:sz w:val="18"/>
                <w:szCs w:val="18"/>
              </w:rPr>
              <w:t>65</w:t>
            </w:r>
          </w:p>
        </w:tc>
      </w:tr>
      <w:tr w:rsidR="008B3E76" w:rsidTr="008945C5">
        <w:trPr>
          <w:gridAfter w:val="1"/>
          <w:wAfter w:w="6" w:type="dxa"/>
          <w:trHeight w:val="371"/>
        </w:trPr>
        <w:tc>
          <w:tcPr>
            <w:tcW w:w="1303" w:type="dxa"/>
            <w:shd w:val="clear" w:color="auto" w:fill="C5E0B3" w:themeFill="accent6" w:themeFillTint="66"/>
            <w:vAlign w:val="center"/>
          </w:tcPr>
          <w:p w:rsidR="008B3E76" w:rsidRPr="003C18CF" w:rsidRDefault="008B3E76" w:rsidP="008C40D5">
            <w:pPr>
              <w:jc w:val="center"/>
              <w:rPr>
                <w:sz w:val="18"/>
                <w:szCs w:val="18"/>
              </w:rPr>
            </w:pPr>
            <w:r w:rsidRPr="003C18CF">
              <w:rPr>
                <w:sz w:val="18"/>
                <w:szCs w:val="18"/>
              </w:rPr>
              <w:t>B2</w:t>
            </w:r>
          </w:p>
        </w:tc>
        <w:tc>
          <w:tcPr>
            <w:tcW w:w="1447" w:type="dxa"/>
            <w:shd w:val="clear" w:color="auto" w:fill="C5E0B3" w:themeFill="accent6" w:themeFillTint="66"/>
            <w:vAlign w:val="center"/>
          </w:tcPr>
          <w:p w:rsidR="008B3E76" w:rsidRPr="003C18CF" w:rsidRDefault="008B3E76" w:rsidP="008C40D5">
            <w:pPr>
              <w:jc w:val="center"/>
              <w:rPr>
                <w:sz w:val="18"/>
                <w:szCs w:val="18"/>
              </w:rPr>
            </w:pPr>
            <w:r w:rsidRPr="003C18CF">
              <w:rPr>
                <w:sz w:val="18"/>
                <w:szCs w:val="18"/>
              </w:rPr>
              <w:t>75-94</w:t>
            </w:r>
          </w:p>
        </w:tc>
        <w:tc>
          <w:tcPr>
            <w:tcW w:w="1288" w:type="dxa"/>
            <w:shd w:val="clear" w:color="auto" w:fill="C5E0B3" w:themeFill="accent6" w:themeFillTint="66"/>
            <w:vAlign w:val="center"/>
          </w:tcPr>
          <w:p w:rsidR="008B3E76" w:rsidRPr="003C18CF" w:rsidRDefault="008B3E76" w:rsidP="008C40D5">
            <w:pPr>
              <w:jc w:val="center"/>
              <w:rPr>
                <w:sz w:val="18"/>
                <w:szCs w:val="18"/>
              </w:rPr>
            </w:pPr>
            <w:r w:rsidRPr="003C18CF">
              <w:rPr>
                <w:sz w:val="18"/>
                <w:szCs w:val="18"/>
              </w:rPr>
              <w:t>75</w:t>
            </w:r>
          </w:p>
        </w:tc>
        <w:tc>
          <w:tcPr>
            <w:tcW w:w="947" w:type="dxa"/>
            <w:shd w:val="clear" w:color="auto" w:fill="C5E0B3" w:themeFill="accent6" w:themeFillTint="66"/>
            <w:vAlign w:val="center"/>
          </w:tcPr>
          <w:p w:rsidR="008B3E76" w:rsidRPr="003C18CF" w:rsidRDefault="008B3E76" w:rsidP="008C40D5">
            <w:pPr>
              <w:jc w:val="center"/>
              <w:rPr>
                <w:sz w:val="18"/>
                <w:szCs w:val="18"/>
              </w:rPr>
            </w:pPr>
            <w:r w:rsidRPr="003C18CF">
              <w:rPr>
                <w:sz w:val="18"/>
                <w:szCs w:val="18"/>
              </w:rPr>
              <w:t>90</w:t>
            </w:r>
          </w:p>
        </w:tc>
        <w:tc>
          <w:tcPr>
            <w:tcW w:w="1129" w:type="dxa"/>
            <w:shd w:val="clear" w:color="auto" w:fill="C5E0B3" w:themeFill="accent6" w:themeFillTint="66"/>
            <w:vAlign w:val="center"/>
          </w:tcPr>
          <w:p w:rsidR="008B3E76" w:rsidRPr="003C18CF" w:rsidRDefault="008B3E76" w:rsidP="008C40D5">
            <w:pPr>
              <w:jc w:val="center"/>
              <w:rPr>
                <w:sz w:val="18"/>
                <w:szCs w:val="18"/>
              </w:rPr>
            </w:pPr>
            <w:r w:rsidRPr="003C18CF">
              <w:rPr>
                <w:sz w:val="18"/>
                <w:szCs w:val="18"/>
              </w:rPr>
              <w:t>75</w:t>
            </w:r>
          </w:p>
        </w:tc>
        <w:tc>
          <w:tcPr>
            <w:tcW w:w="1160" w:type="dxa"/>
            <w:shd w:val="clear" w:color="auto" w:fill="C5E0B3" w:themeFill="accent6" w:themeFillTint="66"/>
            <w:vAlign w:val="center"/>
          </w:tcPr>
          <w:p w:rsidR="008B3E76" w:rsidRPr="003C18CF" w:rsidRDefault="008B3E76" w:rsidP="008C40D5">
            <w:pPr>
              <w:jc w:val="center"/>
              <w:rPr>
                <w:sz w:val="18"/>
                <w:szCs w:val="18"/>
              </w:rPr>
            </w:pPr>
            <w:r w:rsidRPr="003C18CF">
              <w:rPr>
                <w:sz w:val="18"/>
                <w:szCs w:val="18"/>
              </w:rPr>
              <w:t>B2 / 75-94</w:t>
            </w:r>
          </w:p>
        </w:tc>
        <w:tc>
          <w:tcPr>
            <w:tcW w:w="984" w:type="dxa"/>
            <w:shd w:val="clear" w:color="auto" w:fill="C5E0B3" w:themeFill="accent6" w:themeFillTint="66"/>
            <w:vAlign w:val="center"/>
          </w:tcPr>
          <w:p w:rsidR="008B3E76" w:rsidRPr="003C18CF" w:rsidRDefault="008B3E76" w:rsidP="008C40D5">
            <w:pPr>
              <w:jc w:val="center"/>
              <w:rPr>
                <w:sz w:val="18"/>
                <w:szCs w:val="18"/>
              </w:rPr>
            </w:pPr>
            <w:r w:rsidRPr="003C18CF">
              <w:rPr>
                <w:sz w:val="18"/>
                <w:szCs w:val="18"/>
              </w:rPr>
              <w:t>6,5</w:t>
            </w:r>
          </w:p>
        </w:tc>
        <w:tc>
          <w:tcPr>
            <w:tcW w:w="992" w:type="dxa"/>
            <w:shd w:val="clear" w:color="auto" w:fill="C5E0B3" w:themeFill="accent6" w:themeFillTint="66"/>
            <w:vAlign w:val="center"/>
          </w:tcPr>
          <w:p w:rsidR="008B3E76" w:rsidRPr="003C18CF" w:rsidRDefault="008B3E76" w:rsidP="008C40D5">
            <w:pPr>
              <w:jc w:val="center"/>
              <w:rPr>
                <w:sz w:val="18"/>
                <w:szCs w:val="18"/>
              </w:rPr>
            </w:pPr>
            <w:r w:rsidRPr="003C18CF">
              <w:rPr>
                <w:sz w:val="18"/>
                <w:szCs w:val="18"/>
              </w:rPr>
              <w:t>80</w:t>
            </w:r>
          </w:p>
        </w:tc>
      </w:tr>
      <w:tr w:rsidR="008B3E76" w:rsidTr="008945C5">
        <w:trPr>
          <w:gridAfter w:val="1"/>
          <w:wAfter w:w="6" w:type="dxa"/>
          <w:trHeight w:val="310"/>
        </w:trPr>
        <w:tc>
          <w:tcPr>
            <w:tcW w:w="1303" w:type="dxa"/>
            <w:shd w:val="clear" w:color="auto" w:fill="C5E0B3" w:themeFill="accent6" w:themeFillTint="66"/>
            <w:vAlign w:val="center"/>
          </w:tcPr>
          <w:p w:rsidR="008B3E76" w:rsidRPr="003C18CF" w:rsidRDefault="008B3E76" w:rsidP="008C40D5">
            <w:pPr>
              <w:jc w:val="center"/>
              <w:rPr>
                <w:sz w:val="18"/>
                <w:szCs w:val="18"/>
              </w:rPr>
            </w:pPr>
            <w:r w:rsidRPr="003C18CF">
              <w:rPr>
                <w:sz w:val="18"/>
                <w:szCs w:val="18"/>
              </w:rPr>
              <w:t>C1</w:t>
            </w:r>
          </w:p>
        </w:tc>
        <w:tc>
          <w:tcPr>
            <w:tcW w:w="1447" w:type="dxa"/>
            <w:shd w:val="clear" w:color="auto" w:fill="C5E0B3" w:themeFill="accent6" w:themeFillTint="66"/>
            <w:vAlign w:val="center"/>
          </w:tcPr>
          <w:p w:rsidR="008B3E76" w:rsidRPr="003C18CF" w:rsidRDefault="008B3E76" w:rsidP="008C40D5">
            <w:pPr>
              <w:jc w:val="center"/>
              <w:rPr>
                <w:sz w:val="18"/>
                <w:szCs w:val="18"/>
              </w:rPr>
            </w:pPr>
            <w:r w:rsidRPr="003C18CF">
              <w:rPr>
                <w:sz w:val="18"/>
                <w:szCs w:val="18"/>
              </w:rPr>
              <w:t>95</w:t>
            </w:r>
          </w:p>
        </w:tc>
        <w:tc>
          <w:tcPr>
            <w:tcW w:w="1288" w:type="dxa"/>
            <w:shd w:val="clear" w:color="auto" w:fill="C5E0B3" w:themeFill="accent6" w:themeFillTint="66"/>
            <w:vAlign w:val="center"/>
          </w:tcPr>
          <w:p w:rsidR="008B3E76" w:rsidRPr="003C18CF" w:rsidRDefault="008B3E76" w:rsidP="008C40D5">
            <w:pPr>
              <w:jc w:val="center"/>
              <w:rPr>
                <w:sz w:val="18"/>
                <w:szCs w:val="18"/>
              </w:rPr>
            </w:pPr>
            <w:r w:rsidRPr="003C18CF">
              <w:rPr>
                <w:sz w:val="18"/>
                <w:szCs w:val="18"/>
              </w:rPr>
              <w:t>95</w:t>
            </w:r>
          </w:p>
        </w:tc>
        <w:tc>
          <w:tcPr>
            <w:tcW w:w="947" w:type="dxa"/>
            <w:shd w:val="clear" w:color="auto" w:fill="C5E0B3" w:themeFill="accent6" w:themeFillTint="66"/>
            <w:vAlign w:val="center"/>
          </w:tcPr>
          <w:p w:rsidR="008B3E76" w:rsidRPr="003C18CF" w:rsidRDefault="008B3E76" w:rsidP="008C40D5">
            <w:pPr>
              <w:jc w:val="center"/>
              <w:rPr>
                <w:sz w:val="18"/>
                <w:szCs w:val="18"/>
              </w:rPr>
            </w:pPr>
            <w:r w:rsidRPr="003C18CF">
              <w:rPr>
                <w:sz w:val="18"/>
                <w:szCs w:val="18"/>
              </w:rPr>
              <w:t>114</w:t>
            </w:r>
          </w:p>
        </w:tc>
        <w:tc>
          <w:tcPr>
            <w:tcW w:w="1129" w:type="dxa"/>
            <w:shd w:val="clear" w:color="auto" w:fill="C5E0B3" w:themeFill="accent6" w:themeFillTint="66"/>
            <w:vAlign w:val="center"/>
          </w:tcPr>
          <w:p w:rsidR="008B3E76" w:rsidRPr="003C18CF" w:rsidRDefault="008B3E76" w:rsidP="008C40D5">
            <w:pPr>
              <w:jc w:val="center"/>
              <w:rPr>
                <w:sz w:val="18"/>
                <w:szCs w:val="18"/>
              </w:rPr>
            </w:pPr>
            <w:r w:rsidRPr="003C18CF">
              <w:rPr>
                <w:sz w:val="18"/>
                <w:szCs w:val="18"/>
              </w:rPr>
              <w:t>87</w:t>
            </w:r>
          </w:p>
        </w:tc>
        <w:tc>
          <w:tcPr>
            <w:tcW w:w="1160" w:type="dxa"/>
            <w:shd w:val="clear" w:color="auto" w:fill="C5E0B3" w:themeFill="accent6" w:themeFillTint="66"/>
            <w:vAlign w:val="center"/>
          </w:tcPr>
          <w:p w:rsidR="008B3E76" w:rsidRPr="003C18CF" w:rsidRDefault="008B3E76" w:rsidP="008C40D5">
            <w:pPr>
              <w:jc w:val="center"/>
              <w:rPr>
                <w:sz w:val="18"/>
                <w:szCs w:val="18"/>
              </w:rPr>
            </w:pPr>
            <w:r w:rsidRPr="003C18CF">
              <w:rPr>
                <w:sz w:val="18"/>
                <w:szCs w:val="18"/>
              </w:rPr>
              <w:t>-</w:t>
            </w:r>
          </w:p>
        </w:tc>
        <w:tc>
          <w:tcPr>
            <w:tcW w:w="984" w:type="dxa"/>
            <w:shd w:val="clear" w:color="auto" w:fill="C5E0B3" w:themeFill="accent6" w:themeFillTint="66"/>
            <w:vAlign w:val="center"/>
          </w:tcPr>
          <w:p w:rsidR="008B3E76" w:rsidRPr="003C18CF" w:rsidRDefault="008B3E76" w:rsidP="008C40D5">
            <w:pPr>
              <w:jc w:val="center"/>
              <w:rPr>
                <w:sz w:val="18"/>
                <w:szCs w:val="18"/>
              </w:rPr>
            </w:pPr>
            <w:r w:rsidRPr="003C18CF">
              <w:rPr>
                <w:sz w:val="18"/>
                <w:szCs w:val="18"/>
              </w:rPr>
              <w:t>8</w:t>
            </w:r>
          </w:p>
        </w:tc>
        <w:tc>
          <w:tcPr>
            <w:tcW w:w="992" w:type="dxa"/>
            <w:shd w:val="clear" w:color="auto" w:fill="C5E0B3" w:themeFill="accent6" w:themeFillTint="66"/>
            <w:vAlign w:val="center"/>
          </w:tcPr>
          <w:p w:rsidR="008B3E76" w:rsidRPr="003C18CF" w:rsidRDefault="008B3E76" w:rsidP="008C40D5">
            <w:pPr>
              <w:jc w:val="center"/>
              <w:rPr>
                <w:sz w:val="18"/>
                <w:szCs w:val="18"/>
              </w:rPr>
            </w:pPr>
            <w:r w:rsidRPr="003C18CF">
              <w:rPr>
                <w:sz w:val="18"/>
                <w:szCs w:val="18"/>
              </w:rPr>
              <w:t>100</w:t>
            </w:r>
          </w:p>
        </w:tc>
      </w:tr>
      <w:tr w:rsidR="008B3E76" w:rsidTr="008945C5">
        <w:trPr>
          <w:gridAfter w:val="1"/>
          <w:wAfter w:w="6" w:type="dxa"/>
          <w:trHeight w:val="428"/>
        </w:trPr>
        <w:tc>
          <w:tcPr>
            <w:tcW w:w="1303" w:type="dxa"/>
            <w:shd w:val="clear" w:color="auto" w:fill="C5E0B3" w:themeFill="accent6" w:themeFillTint="66"/>
            <w:vAlign w:val="center"/>
          </w:tcPr>
          <w:p w:rsidR="008B3E76" w:rsidRPr="003C18CF" w:rsidRDefault="008B3E76" w:rsidP="008C40D5">
            <w:pPr>
              <w:jc w:val="center"/>
              <w:rPr>
                <w:sz w:val="18"/>
                <w:szCs w:val="18"/>
              </w:rPr>
            </w:pPr>
            <w:r w:rsidRPr="003C18CF">
              <w:rPr>
                <w:sz w:val="18"/>
                <w:szCs w:val="18"/>
              </w:rPr>
              <w:t>C2</w:t>
            </w:r>
          </w:p>
        </w:tc>
        <w:tc>
          <w:tcPr>
            <w:tcW w:w="1447" w:type="dxa"/>
            <w:shd w:val="clear" w:color="auto" w:fill="C5E0B3" w:themeFill="accent6" w:themeFillTint="66"/>
            <w:vAlign w:val="center"/>
          </w:tcPr>
          <w:p w:rsidR="008B3E76" w:rsidRPr="003C18CF" w:rsidRDefault="008B3E76" w:rsidP="008C40D5">
            <w:pPr>
              <w:jc w:val="center"/>
              <w:rPr>
                <w:sz w:val="18"/>
                <w:szCs w:val="18"/>
              </w:rPr>
            </w:pPr>
            <w:r w:rsidRPr="003C18CF">
              <w:rPr>
                <w:sz w:val="18"/>
                <w:szCs w:val="18"/>
              </w:rPr>
              <w:t>100</w:t>
            </w:r>
          </w:p>
        </w:tc>
        <w:tc>
          <w:tcPr>
            <w:tcW w:w="1288" w:type="dxa"/>
            <w:shd w:val="clear" w:color="auto" w:fill="C5E0B3" w:themeFill="accent6" w:themeFillTint="66"/>
            <w:vAlign w:val="center"/>
          </w:tcPr>
          <w:p w:rsidR="008B3E76" w:rsidRPr="003C18CF" w:rsidRDefault="008B3E76" w:rsidP="008C40D5">
            <w:pPr>
              <w:jc w:val="center"/>
              <w:rPr>
                <w:sz w:val="18"/>
                <w:szCs w:val="18"/>
              </w:rPr>
            </w:pPr>
            <w:r w:rsidRPr="003C18CF">
              <w:rPr>
                <w:sz w:val="18"/>
                <w:szCs w:val="18"/>
              </w:rPr>
              <w:t>100</w:t>
            </w:r>
          </w:p>
        </w:tc>
        <w:tc>
          <w:tcPr>
            <w:tcW w:w="947" w:type="dxa"/>
            <w:shd w:val="clear" w:color="auto" w:fill="C5E0B3" w:themeFill="accent6" w:themeFillTint="66"/>
            <w:vAlign w:val="center"/>
          </w:tcPr>
          <w:p w:rsidR="008B3E76" w:rsidRPr="003C18CF" w:rsidRDefault="008B3E76" w:rsidP="008C40D5">
            <w:pPr>
              <w:jc w:val="center"/>
              <w:rPr>
                <w:sz w:val="18"/>
                <w:szCs w:val="18"/>
              </w:rPr>
            </w:pPr>
            <w:r w:rsidRPr="003C18CF">
              <w:rPr>
                <w:sz w:val="18"/>
                <w:szCs w:val="18"/>
              </w:rPr>
              <w:t>120</w:t>
            </w:r>
          </w:p>
        </w:tc>
        <w:tc>
          <w:tcPr>
            <w:tcW w:w="1129" w:type="dxa"/>
            <w:shd w:val="clear" w:color="auto" w:fill="C5E0B3" w:themeFill="accent6" w:themeFillTint="66"/>
            <w:vAlign w:val="center"/>
          </w:tcPr>
          <w:p w:rsidR="008B3E76" w:rsidRPr="003C18CF" w:rsidRDefault="008B3E76" w:rsidP="008C40D5">
            <w:pPr>
              <w:jc w:val="center"/>
              <w:rPr>
                <w:sz w:val="18"/>
                <w:szCs w:val="18"/>
              </w:rPr>
            </w:pPr>
            <w:r w:rsidRPr="003C18CF">
              <w:rPr>
                <w:sz w:val="18"/>
                <w:szCs w:val="18"/>
              </w:rPr>
              <w:t>90</w:t>
            </w:r>
          </w:p>
        </w:tc>
        <w:tc>
          <w:tcPr>
            <w:tcW w:w="1160" w:type="dxa"/>
            <w:shd w:val="clear" w:color="auto" w:fill="C5E0B3" w:themeFill="accent6" w:themeFillTint="66"/>
            <w:vAlign w:val="center"/>
          </w:tcPr>
          <w:p w:rsidR="008B3E76" w:rsidRPr="003C18CF" w:rsidRDefault="008B3E76" w:rsidP="008C40D5">
            <w:pPr>
              <w:jc w:val="center"/>
              <w:rPr>
                <w:sz w:val="18"/>
                <w:szCs w:val="18"/>
              </w:rPr>
            </w:pPr>
            <w:r w:rsidRPr="003C18CF">
              <w:rPr>
                <w:sz w:val="18"/>
                <w:szCs w:val="18"/>
              </w:rPr>
              <w:t>-</w:t>
            </w:r>
          </w:p>
        </w:tc>
        <w:tc>
          <w:tcPr>
            <w:tcW w:w="984" w:type="dxa"/>
            <w:shd w:val="clear" w:color="auto" w:fill="C5E0B3" w:themeFill="accent6" w:themeFillTint="66"/>
            <w:vAlign w:val="center"/>
          </w:tcPr>
          <w:p w:rsidR="008B3E76" w:rsidRPr="003C18CF" w:rsidRDefault="008B3E76" w:rsidP="008C40D5">
            <w:pPr>
              <w:jc w:val="center"/>
              <w:rPr>
                <w:sz w:val="18"/>
                <w:szCs w:val="18"/>
              </w:rPr>
            </w:pPr>
            <w:r w:rsidRPr="003C18CF">
              <w:rPr>
                <w:sz w:val="18"/>
                <w:szCs w:val="18"/>
              </w:rPr>
              <w:t>9</w:t>
            </w:r>
          </w:p>
        </w:tc>
        <w:tc>
          <w:tcPr>
            <w:tcW w:w="992" w:type="dxa"/>
            <w:shd w:val="clear" w:color="auto" w:fill="C5E0B3" w:themeFill="accent6" w:themeFillTint="66"/>
            <w:vAlign w:val="center"/>
          </w:tcPr>
          <w:p w:rsidR="008B3E76" w:rsidRPr="003C18CF" w:rsidRDefault="008B3E76" w:rsidP="008C40D5">
            <w:pPr>
              <w:jc w:val="center"/>
              <w:rPr>
                <w:sz w:val="18"/>
                <w:szCs w:val="18"/>
              </w:rPr>
            </w:pPr>
            <w:r w:rsidRPr="003C18CF">
              <w:rPr>
                <w:sz w:val="18"/>
                <w:szCs w:val="18"/>
              </w:rPr>
              <w:t>100</w:t>
            </w:r>
          </w:p>
        </w:tc>
      </w:tr>
    </w:tbl>
    <w:p w:rsidR="00987C7E" w:rsidRPr="00987C7E" w:rsidRDefault="00987C7E" w:rsidP="00987C7E">
      <w:pPr>
        <w:tabs>
          <w:tab w:val="num" w:pos="720"/>
        </w:tabs>
        <w:rPr>
          <w:rFonts w:ascii="Times New Roman" w:hAnsi="Times New Roman" w:cs="Times New Roman"/>
        </w:rPr>
      </w:pPr>
    </w:p>
    <w:p w:rsidR="008B3E76" w:rsidRPr="008B3E76" w:rsidRDefault="008B3E76" w:rsidP="008B3E76">
      <w:pPr>
        <w:jc w:val="center"/>
        <w:rPr>
          <w:rFonts w:ascii="Times New Roman" w:eastAsia="Times New Roman" w:hAnsi="Times New Roman" w:cs="Times New Roman"/>
          <w:b/>
          <w:bCs/>
          <w:color w:val="373737"/>
          <w:sz w:val="24"/>
          <w:szCs w:val="24"/>
          <w:lang w:eastAsia="tr-TR"/>
        </w:rPr>
      </w:pPr>
      <w:r>
        <w:rPr>
          <w:rFonts w:ascii="Times New Roman" w:eastAsia="Times New Roman" w:hAnsi="Times New Roman" w:cs="Times New Roman"/>
          <w:b/>
          <w:bCs/>
          <w:color w:val="373737"/>
          <w:sz w:val="24"/>
          <w:szCs w:val="24"/>
          <w:lang w:eastAsia="tr-TR"/>
        </w:rPr>
        <w:t>STAJ HAREKETLİLİĞİ HİBE VE SÜRELERİ</w:t>
      </w:r>
    </w:p>
    <w:p w:rsidR="008B3E76" w:rsidRDefault="008B3E76" w:rsidP="008B3E76">
      <w:pPr>
        <w:jc w:val="both"/>
        <w:rPr>
          <w:rFonts w:ascii="Times New Roman" w:eastAsia="Times New Roman" w:hAnsi="Times New Roman" w:cs="Times New Roman"/>
          <w:bCs/>
          <w:sz w:val="20"/>
          <w:szCs w:val="20"/>
          <w:lang w:eastAsia="tr-TR"/>
        </w:rPr>
      </w:pPr>
      <w:r w:rsidRPr="0050629F">
        <w:rPr>
          <w:rFonts w:ascii="Times New Roman" w:eastAsia="Times New Roman" w:hAnsi="Times New Roman" w:cs="Times New Roman"/>
          <w:bCs/>
          <w:sz w:val="20"/>
          <w:szCs w:val="20"/>
          <w:lang w:eastAsia="tr-TR"/>
        </w:rPr>
        <w:t>Erasmus Staj Hareketliliği minimum 60, maksimum 360 gün yapılmaktadır.</w:t>
      </w:r>
    </w:p>
    <w:p w:rsidR="008B3E76" w:rsidRPr="0050629F" w:rsidRDefault="008B3E76" w:rsidP="008B3E76">
      <w:pPr>
        <w:jc w:val="both"/>
        <w:rPr>
          <w:rFonts w:ascii="Times New Roman" w:eastAsia="Times New Roman" w:hAnsi="Times New Roman" w:cs="Times New Roman"/>
          <w:bCs/>
          <w:sz w:val="20"/>
          <w:szCs w:val="20"/>
          <w:lang w:eastAsia="tr-TR"/>
        </w:rPr>
      </w:pPr>
      <w:r w:rsidRPr="0050629F">
        <w:rPr>
          <w:rFonts w:ascii="Times New Roman" w:eastAsia="Times New Roman" w:hAnsi="Times New Roman" w:cs="Times New Roman"/>
          <w:bCs/>
          <w:sz w:val="20"/>
          <w:szCs w:val="20"/>
          <w:lang w:eastAsia="tr-TR"/>
        </w:rPr>
        <w:t>İlk ödeme olarak, öngörülen toplam faaliyet süresine göre hesap edilen toplam hibenin %80‘i ödenir.</w:t>
      </w:r>
    </w:p>
    <w:p w:rsidR="008B3E76" w:rsidRPr="0050629F" w:rsidRDefault="008B3E76" w:rsidP="008B3E76">
      <w:pPr>
        <w:jc w:val="both"/>
        <w:rPr>
          <w:rFonts w:ascii="Times New Roman" w:eastAsia="Times New Roman" w:hAnsi="Times New Roman" w:cs="Times New Roman"/>
          <w:bCs/>
          <w:sz w:val="20"/>
          <w:szCs w:val="20"/>
          <w:lang w:eastAsia="tr-TR"/>
        </w:rPr>
      </w:pPr>
      <w:r w:rsidRPr="0050629F">
        <w:rPr>
          <w:rFonts w:ascii="Times New Roman" w:eastAsia="Times New Roman" w:hAnsi="Times New Roman" w:cs="Times New Roman"/>
          <w:bCs/>
          <w:sz w:val="20"/>
          <w:szCs w:val="20"/>
          <w:lang w:eastAsia="tr-TR"/>
        </w:rPr>
        <w:t>İkinci taksit, staj dönemi sonunda, öğrenciye verilen katılım belgesi ve kesin gerçekleşen faaliyet süresi ve öğrencinin başarı ve sorumluluklarını yerine getirme düzeyi dikkate alınarak yapılır. Sorumluluklarını yerine getirmeyen ve/veya başarısız öğrencilerin hibelerinde kesinti yapılması söz konusudur.</w:t>
      </w:r>
    </w:p>
    <w:p w:rsidR="008B3E76" w:rsidRPr="0050629F" w:rsidRDefault="008B3E76" w:rsidP="008B3E76">
      <w:pPr>
        <w:jc w:val="both"/>
        <w:rPr>
          <w:rFonts w:ascii="Times New Roman" w:eastAsia="Times New Roman" w:hAnsi="Times New Roman" w:cs="Times New Roman"/>
          <w:bCs/>
          <w:sz w:val="20"/>
          <w:szCs w:val="20"/>
          <w:lang w:eastAsia="tr-TR"/>
        </w:rPr>
      </w:pPr>
      <w:r w:rsidRPr="0050629F">
        <w:rPr>
          <w:rFonts w:ascii="Times New Roman" w:eastAsia="Times New Roman" w:hAnsi="Times New Roman" w:cs="Times New Roman"/>
          <w:bCs/>
          <w:sz w:val="20"/>
          <w:szCs w:val="20"/>
          <w:lang w:eastAsia="tr-TR"/>
        </w:rPr>
        <w:t>Faaliyet başlamadan önce yapılacak planlamada gidilecek kurumun verdiği davet mektuplarında yer alan süreler bilgi ve belgelere göre süre ve hibe konusunda üst sınır belirlenir.</w:t>
      </w:r>
    </w:p>
    <w:p w:rsidR="008B3E76" w:rsidRPr="0050629F" w:rsidRDefault="008B3E76" w:rsidP="008945C5">
      <w:pPr>
        <w:jc w:val="both"/>
        <w:rPr>
          <w:rFonts w:ascii="Times New Roman" w:eastAsia="Times New Roman" w:hAnsi="Times New Roman" w:cs="Times New Roman"/>
          <w:bCs/>
          <w:sz w:val="20"/>
          <w:szCs w:val="20"/>
          <w:lang w:eastAsia="tr-TR"/>
        </w:rPr>
      </w:pPr>
      <w:r w:rsidRPr="0050629F">
        <w:rPr>
          <w:rFonts w:ascii="Times New Roman" w:eastAsia="Times New Roman" w:hAnsi="Times New Roman" w:cs="Times New Roman"/>
          <w:bCs/>
          <w:sz w:val="20"/>
          <w:szCs w:val="20"/>
          <w:lang w:eastAsia="tr-TR"/>
        </w:rPr>
        <w:t>Faaliyet tamamlandığında yurt dışında gerçekleşen fiili faaliyet süresine ve öğrencinin sorumluluklarını yerine getirme düzeyine bakılarak öğrencinin toplam nihai hibesi yeniden hesaplanır. Kesin faaliyet süresi, katılım sertifikasında bulun</w:t>
      </w:r>
      <w:r w:rsidR="008945C5" w:rsidRPr="0050629F">
        <w:rPr>
          <w:rFonts w:ascii="Times New Roman" w:eastAsia="Times New Roman" w:hAnsi="Times New Roman" w:cs="Times New Roman"/>
          <w:bCs/>
          <w:sz w:val="20"/>
          <w:szCs w:val="20"/>
          <w:lang w:eastAsia="tr-TR"/>
        </w:rPr>
        <w:t>an faaliyet başlangıç-bitiş tari</w:t>
      </w:r>
      <w:r w:rsidRPr="0050629F">
        <w:rPr>
          <w:rFonts w:ascii="Times New Roman" w:eastAsia="Times New Roman" w:hAnsi="Times New Roman" w:cs="Times New Roman"/>
          <w:bCs/>
          <w:sz w:val="20"/>
          <w:szCs w:val="20"/>
          <w:lang w:eastAsia="tr-TR"/>
        </w:rPr>
        <w:t>hleri ve pasaportta yer alan giriş-çıkış tarihlerine göre hesaplanır.</w:t>
      </w:r>
    </w:p>
    <w:p w:rsidR="0050629F" w:rsidRDefault="0050629F" w:rsidP="0050629F">
      <w:pPr>
        <w:jc w:val="center"/>
        <w:rPr>
          <w:rFonts w:ascii="Times New Roman" w:eastAsia="Times New Roman" w:hAnsi="Times New Roman" w:cs="Times New Roman"/>
          <w:b/>
          <w:bCs/>
          <w:color w:val="373737"/>
          <w:sz w:val="24"/>
          <w:szCs w:val="24"/>
          <w:lang w:eastAsia="tr-TR"/>
        </w:rPr>
      </w:pPr>
    </w:p>
    <w:p w:rsidR="0050629F" w:rsidRDefault="0050629F" w:rsidP="0050629F">
      <w:pPr>
        <w:jc w:val="center"/>
        <w:rPr>
          <w:rFonts w:ascii="Times New Roman" w:eastAsia="Times New Roman" w:hAnsi="Times New Roman" w:cs="Times New Roman"/>
          <w:b/>
          <w:bCs/>
          <w:color w:val="373737"/>
          <w:sz w:val="24"/>
          <w:szCs w:val="24"/>
          <w:lang w:eastAsia="tr-TR"/>
        </w:rPr>
      </w:pPr>
      <w:r w:rsidRPr="0050629F">
        <w:rPr>
          <w:rFonts w:ascii="Times New Roman" w:eastAsia="Times New Roman" w:hAnsi="Times New Roman" w:cs="Times New Roman"/>
          <w:b/>
          <w:bCs/>
          <w:color w:val="373737"/>
          <w:sz w:val="24"/>
          <w:szCs w:val="24"/>
          <w:lang w:eastAsia="tr-TR"/>
        </w:rPr>
        <w:t>SEÇİM VE DEĞERLENDİRME</w:t>
      </w:r>
    </w:p>
    <w:p w:rsidR="0050629F" w:rsidRPr="0050629F" w:rsidRDefault="0050629F" w:rsidP="0050629F">
      <w:pPr>
        <w:jc w:val="both"/>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 xml:space="preserve">Adayların değerlendirme puanları bu notta yer alan ölçüt tablosuna göre hesaplanmaktadır. </w:t>
      </w:r>
      <w:r w:rsidRPr="0050629F">
        <w:rPr>
          <w:rFonts w:ascii="Times New Roman" w:eastAsia="Times New Roman" w:hAnsi="Times New Roman" w:cs="Times New Roman"/>
          <w:bCs/>
          <w:sz w:val="20"/>
          <w:szCs w:val="20"/>
          <w:lang w:eastAsia="tr-TR"/>
        </w:rPr>
        <w:t xml:space="preserve">En yüksek değerlendirme puanına sahip ilk </w:t>
      </w:r>
      <w:r>
        <w:rPr>
          <w:rFonts w:ascii="Times New Roman" w:eastAsia="Times New Roman" w:hAnsi="Times New Roman" w:cs="Times New Roman"/>
          <w:bCs/>
          <w:sz w:val="20"/>
          <w:szCs w:val="20"/>
          <w:lang w:eastAsia="tr-TR"/>
        </w:rPr>
        <w:t>10</w:t>
      </w:r>
      <w:r w:rsidRPr="0050629F">
        <w:rPr>
          <w:rFonts w:ascii="Times New Roman" w:eastAsia="Times New Roman" w:hAnsi="Times New Roman" w:cs="Times New Roman"/>
          <w:bCs/>
          <w:sz w:val="20"/>
          <w:szCs w:val="20"/>
          <w:lang w:eastAsia="tr-TR"/>
        </w:rPr>
        <w:t xml:space="preserve"> aday asil listede yer alacak ve hareketliliği hibeli olarak yapmaya hak kazanacaktır. Kalan adaylar yedek listesinde seçilecektir. Yedek listesinde kalan adaylar asil listedeki adayların hareketlilik yapmamaları durumunda asil listeye taşınacaktır. Asil listeye taşınan adaylara Erasmus Koordinatörlüğü tarafından bilgilendirme e-postası gönderilecektir. </w:t>
      </w:r>
    </w:p>
    <w:p w:rsidR="0050629F" w:rsidRDefault="0050629F" w:rsidP="0050629F">
      <w:pPr>
        <w:jc w:val="both"/>
        <w:rPr>
          <w:rFonts w:ascii="Times New Roman" w:eastAsia="Times New Roman" w:hAnsi="Times New Roman" w:cs="Times New Roman"/>
          <w:bCs/>
          <w:sz w:val="20"/>
          <w:szCs w:val="20"/>
          <w:lang w:eastAsia="tr-TR"/>
        </w:rPr>
      </w:pPr>
      <w:r w:rsidRPr="0050629F">
        <w:rPr>
          <w:rFonts w:ascii="Times New Roman" w:eastAsia="Times New Roman" w:hAnsi="Times New Roman" w:cs="Times New Roman"/>
          <w:bCs/>
          <w:sz w:val="20"/>
          <w:szCs w:val="20"/>
          <w:lang w:eastAsia="tr-TR"/>
        </w:rPr>
        <w:t>Hareketliliğe hak kazanan adayların sonuç açıklama tarihinden sonra en geç 2 hafta içerisinde Erasmus Koordinatörlüğüne bir davet mektubu ibraz etmeleri gerekmektedir. Davet mektubu ibraz etmeyen öğrencilerin hareketlilikleri hibesiz hareketliliğe taşınmaktadır.</w:t>
      </w:r>
    </w:p>
    <w:p w:rsidR="00994A74" w:rsidRPr="0050629F" w:rsidRDefault="00994A74" w:rsidP="0050629F">
      <w:pPr>
        <w:jc w:val="both"/>
        <w:rPr>
          <w:rFonts w:ascii="Times New Roman" w:eastAsia="Times New Roman" w:hAnsi="Times New Roman" w:cs="Times New Roman"/>
          <w:bCs/>
          <w:sz w:val="20"/>
          <w:szCs w:val="20"/>
          <w:lang w:eastAsia="tr-TR"/>
        </w:rPr>
      </w:pPr>
      <w:r w:rsidRPr="00994A74">
        <w:rPr>
          <w:rFonts w:ascii="Times New Roman" w:eastAsia="Times New Roman" w:hAnsi="Times New Roman" w:cs="Times New Roman"/>
          <w:bCs/>
          <w:sz w:val="20"/>
          <w:szCs w:val="20"/>
          <w:lang w:eastAsia="tr-TR"/>
        </w:rPr>
        <w:lastRenderedPageBreak/>
        <w:t>Tüm ölçütler dikkate alınarak hesaplanan toplam puanların eşit olması halinde; akademik başarı notu yüksek olan öğrenciye, akademik başarı notunun da eşit olması halinde yaşı küçük olan öğrenciye öncelik verilir.</w:t>
      </w:r>
    </w:p>
    <w:p w:rsidR="0050629F" w:rsidRPr="0050629F" w:rsidRDefault="0050629F" w:rsidP="0050629F">
      <w:pPr>
        <w:jc w:val="center"/>
        <w:rPr>
          <w:rFonts w:ascii="Times New Roman" w:eastAsia="Times New Roman" w:hAnsi="Times New Roman" w:cs="Times New Roman"/>
          <w:b/>
          <w:bCs/>
          <w:color w:val="373737"/>
          <w:sz w:val="24"/>
          <w:szCs w:val="24"/>
          <w:lang w:eastAsia="tr-TR"/>
        </w:rPr>
      </w:pPr>
    </w:p>
    <w:p w:rsidR="008945C5" w:rsidRDefault="008945C5" w:rsidP="008B3E76">
      <w:pPr>
        <w:jc w:val="center"/>
        <w:rPr>
          <w:rFonts w:ascii="Times New Roman" w:eastAsia="Times New Roman" w:hAnsi="Times New Roman" w:cs="Times New Roman"/>
          <w:b/>
          <w:bCs/>
          <w:color w:val="373737"/>
          <w:sz w:val="24"/>
          <w:szCs w:val="24"/>
          <w:lang w:eastAsia="tr-TR"/>
        </w:rPr>
      </w:pPr>
    </w:p>
    <w:p w:rsidR="008B3E76" w:rsidRPr="00142C3E" w:rsidRDefault="008B3E76" w:rsidP="008B3E76">
      <w:pPr>
        <w:jc w:val="center"/>
        <w:rPr>
          <w:rFonts w:ascii="Times New Roman" w:eastAsia="Times New Roman" w:hAnsi="Times New Roman" w:cs="Times New Roman"/>
          <w:b/>
          <w:bCs/>
          <w:color w:val="373737"/>
          <w:sz w:val="24"/>
          <w:szCs w:val="24"/>
          <w:lang w:eastAsia="tr-TR"/>
        </w:rPr>
      </w:pPr>
      <w:r w:rsidRPr="00142C3E">
        <w:rPr>
          <w:rFonts w:ascii="Times New Roman" w:eastAsia="Times New Roman" w:hAnsi="Times New Roman" w:cs="Times New Roman"/>
          <w:b/>
          <w:bCs/>
          <w:color w:val="373737"/>
          <w:sz w:val="24"/>
          <w:szCs w:val="24"/>
          <w:lang w:eastAsia="tr-TR"/>
        </w:rPr>
        <w:t>GİDİLEN ÜLKERE GÖRE AYLIK HİBE MİKTARLARI</w:t>
      </w:r>
    </w:p>
    <w:p w:rsidR="008945C5" w:rsidRPr="0050629F" w:rsidRDefault="008B3E76" w:rsidP="008945C5">
      <w:pPr>
        <w:jc w:val="both"/>
        <w:rPr>
          <w:rFonts w:ascii="Times New Roman" w:eastAsia="Times New Roman" w:hAnsi="Times New Roman" w:cs="Times New Roman"/>
          <w:bCs/>
          <w:sz w:val="20"/>
          <w:szCs w:val="20"/>
          <w:lang w:eastAsia="tr-TR"/>
        </w:rPr>
      </w:pPr>
      <w:r w:rsidRPr="0050629F">
        <w:rPr>
          <w:rFonts w:ascii="Times New Roman" w:eastAsia="Times New Roman" w:hAnsi="Times New Roman" w:cs="Times New Roman"/>
          <w:bCs/>
          <w:sz w:val="20"/>
          <w:szCs w:val="20"/>
          <w:lang w:eastAsia="tr-TR"/>
        </w:rPr>
        <w:t>Öğrencilere yurtdışında geçirdikleri faaliyet süreleri boyunca yurtdışında olmalarından kaynaklanan ilave masraflarına yardımcı olmak üzere hibe verilmektedir. Hibeler, öğrencilerin faaliyetle ilgili masraflarının tamamını karşılamaya yönelik değil, yalnızca katkı niteliğindedir.</w:t>
      </w:r>
    </w:p>
    <w:p w:rsidR="008945C5" w:rsidRPr="0050629F" w:rsidRDefault="008945C5" w:rsidP="008945C5">
      <w:pPr>
        <w:jc w:val="both"/>
        <w:rPr>
          <w:rFonts w:ascii="Times New Roman" w:eastAsia="Times New Roman" w:hAnsi="Times New Roman" w:cs="Times New Roman"/>
          <w:bCs/>
          <w:sz w:val="20"/>
          <w:szCs w:val="20"/>
          <w:lang w:eastAsia="tr-TR"/>
        </w:rPr>
      </w:pPr>
    </w:p>
    <w:tbl>
      <w:tblPr>
        <w:tblW w:w="9049" w:type="dxa"/>
        <w:tblInd w:w="118" w:type="dxa"/>
        <w:tblLayout w:type="fixed"/>
        <w:tblCellMar>
          <w:left w:w="0" w:type="dxa"/>
          <w:right w:w="0" w:type="dxa"/>
        </w:tblCellMar>
        <w:tblLook w:val="0000" w:firstRow="0" w:lastRow="0" w:firstColumn="0" w:lastColumn="0" w:noHBand="0" w:noVBand="0"/>
      </w:tblPr>
      <w:tblGrid>
        <w:gridCol w:w="1961"/>
        <w:gridCol w:w="4140"/>
        <w:gridCol w:w="1419"/>
        <w:gridCol w:w="1529"/>
      </w:tblGrid>
      <w:tr w:rsidR="008B3E76" w:rsidRPr="00EC3F84" w:rsidTr="008C40D5">
        <w:trPr>
          <w:trHeight w:val="952"/>
        </w:trPr>
        <w:tc>
          <w:tcPr>
            <w:tcW w:w="1961" w:type="dxa"/>
            <w:tcBorders>
              <w:top w:val="single" w:sz="4" w:space="0" w:color="000000"/>
              <w:left w:val="single" w:sz="4" w:space="0" w:color="000000"/>
              <w:bottom w:val="single" w:sz="4" w:space="0" w:color="000000"/>
              <w:right w:val="single" w:sz="4" w:space="0" w:color="000000"/>
            </w:tcBorders>
          </w:tcPr>
          <w:p w:rsidR="008B3E76" w:rsidRPr="0050629F" w:rsidRDefault="008B3E76" w:rsidP="008C40D5">
            <w:pPr>
              <w:kinsoku w:val="0"/>
              <w:overflowPunct w:val="0"/>
              <w:autoSpaceDE w:val="0"/>
              <w:autoSpaceDN w:val="0"/>
              <w:adjustRightInd w:val="0"/>
              <w:spacing w:before="5" w:after="0" w:line="240" w:lineRule="auto"/>
              <w:rPr>
                <w:rFonts w:ascii="Times New Roman" w:hAnsi="Times New Roman" w:cs="Times New Roman"/>
                <w:sz w:val="20"/>
                <w:szCs w:val="20"/>
              </w:rPr>
            </w:pPr>
          </w:p>
          <w:p w:rsidR="008B3E76" w:rsidRPr="0050629F" w:rsidRDefault="008B3E76" w:rsidP="008C40D5">
            <w:pPr>
              <w:kinsoku w:val="0"/>
              <w:overflowPunct w:val="0"/>
              <w:autoSpaceDE w:val="0"/>
              <w:autoSpaceDN w:val="0"/>
              <w:adjustRightInd w:val="0"/>
              <w:spacing w:after="0" w:line="240" w:lineRule="auto"/>
              <w:ind w:left="249"/>
              <w:rPr>
                <w:rFonts w:ascii="Times New Roman" w:hAnsi="Times New Roman" w:cs="Times New Roman"/>
                <w:b/>
                <w:bCs/>
                <w:sz w:val="20"/>
                <w:szCs w:val="20"/>
              </w:rPr>
            </w:pPr>
            <w:r w:rsidRPr="0050629F">
              <w:rPr>
                <w:rFonts w:ascii="Times New Roman" w:hAnsi="Times New Roman" w:cs="Times New Roman"/>
                <w:b/>
                <w:bCs/>
                <w:sz w:val="20"/>
                <w:szCs w:val="20"/>
              </w:rPr>
              <w:t>Ülke Grupları</w:t>
            </w:r>
          </w:p>
        </w:tc>
        <w:tc>
          <w:tcPr>
            <w:tcW w:w="4140" w:type="dxa"/>
            <w:tcBorders>
              <w:top w:val="single" w:sz="4" w:space="0" w:color="000000"/>
              <w:left w:val="single" w:sz="4" w:space="0" w:color="000000"/>
              <w:bottom w:val="single" w:sz="4" w:space="0" w:color="000000"/>
              <w:right w:val="single" w:sz="4" w:space="0" w:color="000000"/>
            </w:tcBorders>
          </w:tcPr>
          <w:p w:rsidR="008B3E76" w:rsidRPr="0050629F" w:rsidRDefault="008B3E76" w:rsidP="008C40D5">
            <w:pPr>
              <w:kinsoku w:val="0"/>
              <w:overflowPunct w:val="0"/>
              <w:autoSpaceDE w:val="0"/>
              <w:autoSpaceDN w:val="0"/>
              <w:adjustRightInd w:val="0"/>
              <w:spacing w:before="5" w:after="0" w:line="240" w:lineRule="auto"/>
              <w:rPr>
                <w:rFonts w:ascii="Times New Roman" w:hAnsi="Times New Roman" w:cs="Times New Roman"/>
                <w:sz w:val="20"/>
                <w:szCs w:val="20"/>
              </w:rPr>
            </w:pPr>
          </w:p>
          <w:p w:rsidR="008B3E76" w:rsidRPr="0050629F" w:rsidRDefault="008B3E76" w:rsidP="008C40D5">
            <w:pPr>
              <w:kinsoku w:val="0"/>
              <w:overflowPunct w:val="0"/>
              <w:autoSpaceDE w:val="0"/>
              <w:autoSpaceDN w:val="0"/>
              <w:adjustRightInd w:val="0"/>
              <w:spacing w:after="0" w:line="240" w:lineRule="auto"/>
              <w:ind w:left="120"/>
              <w:rPr>
                <w:rFonts w:ascii="Times New Roman" w:hAnsi="Times New Roman" w:cs="Times New Roman"/>
                <w:b/>
                <w:bCs/>
                <w:sz w:val="20"/>
                <w:szCs w:val="20"/>
              </w:rPr>
            </w:pPr>
            <w:r w:rsidRPr="0050629F">
              <w:rPr>
                <w:rFonts w:ascii="Times New Roman" w:hAnsi="Times New Roman" w:cs="Times New Roman"/>
                <w:b/>
                <w:bCs/>
                <w:sz w:val="20"/>
                <w:szCs w:val="20"/>
              </w:rPr>
              <w:t>Hareketlilikte Misafir Olunan Ülkeler</w:t>
            </w:r>
          </w:p>
        </w:tc>
        <w:tc>
          <w:tcPr>
            <w:tcW w:w="1419" w:type="dxa"/>
            <w:tcBorders>
              <w:top w:val="single" w:sz="4" w:space="0" w:color="000000"/>
              <w:left w:val="single" w:sz="4" w:space="0" w:color="000000"/>
              <w:bottom w:val="single" w:sz="4" w:space="0" w:color="000000"/>
              <w:right w:val="single" w:sz="4" w:space="0" w:color="000000"/>
            </w:tcBorders>
          </w:tcPr>
          <w:p w:rsidR="008B3E76" w:rsidRPr="0050629F" w:rsidRDefault="008B3E76" w:rsidP="008C40D5">
            <w:pPr>
              <w:kinsoku w:val="0"/>
              <w:overflowPunct w:val="0"/>
              <w:autoSpaceDE w:val="0"/>
              <w:autoSpaceDN w:val="0"/>
              <w:adjustRightInd w:val="0"/>
              <w:spacing w:after="0" w:line="275" w:lineRule="exact"/>
              <w:ind w:left="250" w:hanging="101"/>
              <w:rPr>
                <w:rFonts w:ascii="Times New Roman" w:hAnsi="Times New Roman" w:cs="Times New Roman"/>
                <w:b/>
                <w:bCs/>
                <w:sz w:val="20"/>
                <w:szCs w:val="20"/>
              </w:rPr>
            </w:pPr>
            <w:r w:rsidRPr="0050629F">
              <w:rPr>
                <w:rFonts w:ascii="Times New Roman" w:hAnsi="Times New Roman" w:cs="Times New Roman"/>
                <w:b/>
                <w:bCs/>
                <w:sz w:val="20"/>
                <w:szCs w:val="20"/>
              </w:rPr>
              <w:t>Aylık Hibe</w:t>
            </w:r>
          </w:p>
          <w:p w:rsidR="008B3E76" w:rsidRPr="0050629F" w:rsidRDefault="008B3E76" w:rsidP="008C40D5">
            <w:pPr>
              <w:kinsoku w:val="0"/>
              <w:overflowPunct w:val="0"/>
              <w:autoSpaceDE w:val="0"/>
              <w:autoSpaceDN w:val="0"/>
              <w:adjustRightInd w:val="0"/>
              <w:spacing w:before="7" w:after="0" w:line="310" w:lineRule="atLeast"/>
              <w:ind w:left="250" w:right="237"/>
              <w:jc w:val="center"/>
              <w:rPr>
                <w:rFonts w:ascii="Times New Roman" w:hAnsi="Times New Roman" w:cs="Times New Roman"/>
                <w:b/>
                <w:bCs/>
                <w:sz w:val="20"/>
                <w:szCs w:val="20"/>
              </w:rPr>
            </w:pPr>
            <w:r w:rsidRPr="0050629F">
              <w:rPr>
                <w:rFonts w:ascii="Times New Roman" w:hAnsi="Times New Roman" w:cs="Times New Roman"/>
                <w:b/>
                <w:bCs/>
                <w:sz w:val="20"/>
                <w:szCs w:val="20"/>
              </w:rPr>
              <w:t>Öğrenim (Avro)</w:t>
            </w:r>
          </w:p>
        </w:tc>
        <w:tc>
          <w:tcPr>
            <w:tcW w:w="1529" w:type="dxa"/>
            <w:tcBorders>
              <w:top w:val="single" w:sz="4" w:space="0" w:color="000000"/>
              <w:left w:val="single" w:sz="4" w:space="0" w:color="000000"/>
              <w:bottom w:val="single" w:sz="4" w:space="0" w:color="000000"/>
              <w:right w:val="single" w:sz="4" w:space="0" w:color="000000"/>
            </w:tcBorders>
          </w:tcPr>
          <w:p w:rsidR="008B3E76" w:rsidRPr="0050629F" w:rsidRDefault="008B3E76" w:rsidP="008C40D5">
            <w:pPr>
              <w:kinsoku w:val="0"/>
              <w:overflowPunct w:val="0"/>
              <w:autoSpaceDE w:val="0"/>
              <w:autoSpaceDN w:val="0"/>
              <w:adjustRightInd w:val="0"/>
              <w:spacing w:after="0" w:line="275" w:lineRule="exact"/>
              <w:ind w:left="557" w:hanging="351"/>
              <w:rPr>
                <w:rFonts w:ascii="Times New Roman" w:hAnsi="Times New Roman" w:cs="Times New Roman"/>
                <w:b/>
                <w:bCs/>
                <w:sz w:val="20"/>
                <w:szCs w:val="20"/>
              </w:rPr>
            </w:pPr>
            <w:r w:rsidRPr="0050629F">
              <w:rPr>
                <w:rFonts w:ascii="Times New Roman" w:hAnsi="Times New Roman" w:cs="Times New Roman"/>
                <w:b/>
                <w:bCs/>
                <w:sz w:val="20"/>
                <w:szCs w:val="20"/>
              </w:rPr>
              <w:t>Aylık Hibe</w:t>
            </w:r>
          </w:p>
          <w:p w:rsidR="008B3E76" w:rsidRPr="0050629F" w:rsidRDefault="008B3E76" w:rsidP="008C40D5">
            <w:pPr>
              <w:kinsoku w:val="0"/>
              <w:overflowPunct w:val="0"/>
              <w:autoSpaceDE w:val="0"/>
              <w:autoSpaceDN w:val="0"/>
              <w:adjustRightInd w:val="0"/>
              <w:spacing w:before="7" w:after="0" w:line="310" w:lineRule="atLeast"/>
              <w:ind w:left="422" w:right="416" w:firstLine="5"/>
              <w:jc w:val="center"/>
              <w:rPr>
                <w:rFonts w:ascii="Times New Roman" w:hAnsi="Times New Roman" w:cs="Times New Roman"/>
                <w:b/>
                <w:bCs/>
                <w:sz w:val="20"/>
                <w:szCs w:val="20"/>
              </w:rPr>
            </w:pPr>
            <w:r w:rsidRPr="0050629F">
              <w:rPr>
                <w:rFonts w:ascii="Times New Roman" w:hAnsi="Times New Roman" w:cs="Times New Roman"/>
                <w:b/>
                <w:bCs/>
                <w:sz w:val="20"/>
                <w:szCs w:val="20"/>
              </w:rPr>
              <w:t>Staj (Avro)</w:t>
            </w:r>
          </w:p>
        </w:tc>
      </w:tr>
      <w:tr w:rsidR="008B3E76" w:rsidRPr="00EC3F84" w:rsidTr="008C40D5">
        <w:trPr>
          <w:trHeight w:val="1902"/>
        </w:trPr>
        <w:tc>
          <w:tcPr>
            <w:tcW w:w="1961" w:type="dxa"/>
            <w:tcBorders>
              <w:top w:val="single" w:sz="4" w:space="0" w:color="000000"/>
              <w:left w:val="single" w:sz="4" w:space="0" w:color="000000"/>
              <w:bottom w:val="single" w:sz="4" w:space="0" w:color="000000"/>
              <w:right w:val="single" w:sz="4" w:space="0" w:color="000000"/>
            </w:tcBorders>
          </w:tcPr>
          <w:p w:rsidR="008B3E76" w:rsidRPr="0050629F" w:rsidRDefault="008B3E76" w:rsidP="008C40D5">
            <w:pPr>
              <w:kinsoku w:val="0"/>
              <w:overflowPunct w:val="0"/>
              <w:autoSpaceDE w:val="0"/>
              <w:autoSpaceDN w:val="0"/>
              <w:adjustRightInd w:val="0"/>
              <w:spacing w:after="0" w:line="240" w:lineRule="auto"/>
              <w:rPr>
                <w:rFonts w:ascii="Times New Roman" w:hAnsi="Times New Roman" w:cs="Times New Roman"/>
                <w:sz w:val="20"/>
                <w:szCs w:val="20"/>
              </w:rPr>
            </w:pPr>
          </w:p>
          <w:p w:rsidR="008B3E76" w:rsidRPr="0050629F" w:rsidRDefault="008B3E76" w:rsidP="008C40D5">
            <w:pPr>
              <w:kinsoku w:val="0"/>
              <w:overflowPunct w:val="0"/>
              <w:autoSpaceDE w:val="0"/>
              <w:autoSpaceDN w:val="0"/>
              <w:adjustRightInd w:val="0"/>
              <w:spacing w:after="0" w:line="276" w:lineRule="auto"/>
              <w:ind w:left="107" w:right="151"/>
              <w:rPr>
                <w:rFonts w:ascii="Times New Roman" w:hAnsi="Times New Roman" w:cs="Times New Roman"/>
                <w:sz w:val="20"/>
                <w:szCs w:val="20"/>
              </w:rPr>
            </w:pPr>
            <w:r w:rsidRPr="0050629F">
              <w:rPr>
                <w:rFonts w:ascii="Times New Roman" w:hAnsi="Times New Roman" w:cs="Times New Roman"/>
                <w:sz w:val="20"/>
                <w:szCs w:val="20"/>
              </w:rPr>
              <w:t>1. ve 2. Grup Program Ülkeleri</w:t>
            </w:r>
          </w:p>
        </w:tc>
        <w:tc>
          <w:tcPr>
            <w:tcW w:w="4140" w:type="dxa"/>
            <w:tcBorders>
              <w:top w:val="single" w:sz="4" w:space="0" w:color="000000"/>
              <w:left w:val="single" w:sz="4" w:space="0" w:color="000000"/>
              <w:bottom w:val="single" w:sz="4" w:space="0" w:color="000000"/>
              <w:right w:val="single" w:sz="4" w:space="0" w:color="000000"/>
            </w:tcBorders>
          </w:tcPr>
          <w:p w:rsidR="008B3E76" w:rsidRPr="0050629F" w:rsidRDefault="008B3E76" w:rsidP="008C40D5">
            <w:pPr>
              <w:kinsoku w:val="0"/>
              <w:overflowPunct w:val="0"/>
              <w:autoSpaceDE w:val="0"/>
              <w:autoSpaceDN w:val="0"/>
              <w:adjustRightInd w:val="0"/>
              <w:spacing w:after="0" w:line="276" w:lineRule="auto"/>
              <w:ind w:left="108" w:right="109"/>
              <w:rPr>
                <w:rFonts w:ascii="Times New Roman" w:hAnsi="Times New Roman" w:cs="Times New Roman"/>
                <w:sz w:val="20"/>
                <w:szCs w:val="20"/>
              </w:rPr>
            </w:pPr>
            <w:r w:rsidRPr="0050629F">
              <w:rPr>
                <w:rFonts w:ascii="Times New Roman" w:hAnsi="Times New Roman" w:cs="Times New Roman"/>
                <w:sz w:val="20"/>
                <w:szCs w:val="20"/>
              </w:rPr>
              <w:t>Danimarka, Finlandiya, İrlanda, İsveç, İzlanda, Lihtenştayn, Lüksemburg, Norveç, Almanya, Avusturya, Belçika, Fransa, Güney Kıbrıs, Hollanda, İspanya, İtalya, Malta,</w:t>
            </w:r>
          </w:p>
          <w:p w:rsidR="008B3E76" w:rsidRPr="0050629F" w:rsidRDefault="008B3E76" w:rsidP="008C40D5">
            <w:pPr>
              <w:kinsoku w:val="0"/>
              <w:overflowPunct w:val="0"/>
              <w:autoSpaceDE w:val="0"/>
              <w:autoSpaceDN w:val="0"/>
              <w:adjustRightInd w:val="0"/>
              <w:spacing w:after="0" w:line="276" w:lineRule="exact"/>
              <w:ind w:left="108"/>
              <w:rPr>
                <w:rFonts w:ascii="Times New Roman" w:hAnsi="Times New Roman" w:cs="Times New Roman"/>
                <w:sz w:val="20"/>
                <w:szCs w:val="20"/>
              </w:rPr>
            </w:pPr>
            <w:r w:rsidRPr="0050629F">
              <w:rPr>
                <w:rFonts w:ascii="Times New Roman" w:hAnsi="Times New Roman" w:cs="Times New Roman"/>
                <w:sz w:val="20"/>
                <w:szCs w:val="20"/>
              </w:rPr>
              <w:t>Portekiz, Yunanistan,</w:t>
            </w:r>
          </w:p>
        </w:tc>
        <w:tc>
          <w:tcPr>
            <w:tcW w:w="1419" w:type="dxa"/>
            <w:tcBorders>
              <w:top w:val="single" w:sz="4" w:space="0" w:color="000000"/>
              <w:left w:val="single" w:sz="4" w:space="0" w:color="000000"/>
              <w:bottom w:val="single" w:sz="4" w:space="0" w:color="000000"/>
              <w:right w:val="single" w:sz="4" w:space="0" w:color="000000"/>
            </w:tcBorders>
          </w:tcPr>
          <w:p w:rsidR="008B3E76" w:rsidRPr="0050629F" w:rsidRDefault="008B3E76" w:rsidP="008C40D5">
            <w:pPr>
              <w:kinsoku w:val="0"/>
              <w:overflowPunct w:val="0"/>
              <w:autoSpaceDE w:val="0"/>
              <w:autoSpaceDN w:val="0"/>
              <w:adjustRightInd w:val="0"/>
              <w:spacing w:after="0" w:line="240" w:lineRule="auto"/>
              <w:rPr>
                <w:rFonts w:ascii="Times New Roman" w:hAnsi="Times New Roman" w:cs="Times New Roman"/>
                <w:sz w:val="20"/>
                <w:szCs w:val="20"/>
              </w:rPr>
            </w:pPr>
          </w:p>
          <w:p w:rsidR="008B3E76" w:rsidRPr="0050629F" w:rsidRDefault="008945C5" w:rsidP="008C40D5">
            <w:pPr>
              <w:kinsoku w:val="0"/>
              <w:overflowPunct w:val="0"/>
              <w:autoSpaceDE w:val="0"/>
              <w:autoSpaceDN w:val="0"/>
              <w:adjustRightInd w:val="0"/>
              <w:spacing w:before="188" w:after="0" w:line="240" w:lineRule="auto"/>
              <w:ind w:left="245" w:right="237"/>
              <w:jc w:val="center"/>
              <w:rPr>
                <w:rFonts w:ascii="Times New Roman" w:hAnsi="Times New Roman" w:cs="Times New Roman"/>
                <w:sz w:val="20"/>
                <w:szCs w:val="20"/>
              </w:rPr>
            </w:pPr>
            <w:r w:rsidRPr="0050629F">
              <w:rPr>
                <w:rFonts w:ascii="Times New Roman" w:hAnsi="Times New Roman" w:cs="Times New Roman"/>
                <w:sz w:val="20"/>
                <w:szCs w:val="20"/>
              </w:rPr>
              <w:t>500</w:t>
            </w:r>
          </w:p>
        </w:tc>
        <w:tc>
          <w:tcPr>
            <w:tcW w:w="1529" w:type="dxa"/>
            <w:tcBorders>
              <w:top w:val="single" w:sz="4" w:space="0" w:color="000000"/>
              <w:left w:val="single" w:sz="4" w:space="0" w:color="000000"/>
              <w:bottom w:val="single" w:sz="4" w:space="0" w:color="000000"/>
              <w:right w:val="single" w:sz="4" w:space="0" w:color="000000"/>
            </w:tcBorders>
          </w:tcPr>
          <w:p w:rsidR="008B3E76" w:rsidRPr="0050629F" w:rsidRDefault="008B3E76" w:rsidP="008C40D5">
            <w:pPr>
              <w:kinsoku w:val="0"/>
              <w:overflowPunct w:val="0"/>
              <w:autoSpaceDE w:val="0"/>
              <w:autoSpaceDN w:val="0"/>
              <w:adjustRightInd w:val="0"/>
              <w:spacing w:after="0" w:line="240" w:lineRule="auto"/>
              <w:rPr>
                <w:rFonts w:ascii="Times New Roman" w:hAnsi="Times New Roman" w:cs="Times New Roman"/>
                <w:sz w:val="20"/>
                <w:szCs w:val="20"/>
              </w:rPr>
            </w:pPr>
          </w:p>
          <w:p w:rsidR="008B3E76" w:rsidRPr="0050629F" w:rsidRDefault="008945C5" w:rsidP="008C40D5">
            <w:pPr>
              <w:kinsoku w:val="0"/>
              <w:overflowPunct w:val="0"/>
              <w:autoSpaceDE w:val="0"/>
              <w:autoSpaceDN w:val="0"/>
              <w:adjustRightInd w:val="0"/>
              <w:spacing w:before="188" w:after="0" w:line="240" w:lineRule="auto"/>
              <w:ind w:right="573"/>
              <w:jc w:val="right"/>
              <w:rPr>
                <w:rFonts w:ascii="Times New Roman" w:hAnsi="Times New Roman" w:cs="Times New Roman"/>
                <w:sz w:val="20"/>
                <w:szCs w:val="20"/>
              </w:rPr>
            </w:pPr>
            <w:r w:rsidRPr="0050629F">
              <w:rPr>
                <w:rFonts w:ascii="Times New Roman" w:hAnsi="Times New Roman" w:cs="Times New Roman"/>
                <w:sz w:val="20"/>
                <w:szCs w:val="20"/>
              </w:rPr>
              <w:t>600</w:t>
            </w:r>
          </w:p>
        </w:tc>
      </w:tr>
      <w:tr w:rsidR="008B3E76" w:rsidRPr="00EC3F84" w:rsidTr="008C40D5">
        <w:trPr>
          <w:trHeight w:val="1588"/>
        </w:trPr>
        <w:tc>
          <w:tcPr>
            <w:tcW w:w="1961" w:type="dxa"/>
            <w:tcBorders>
              <w:top w:val="single" w:sz="4" w:space="0" w:color="000000"/>
              <w:left w:val="single" w:sz="4" w:space="0" w:color="000000"/>
              <w:bottom w:val="single" w:sz="4" w:space="0" w:color="000000"/>
              <w:right w:val="single" w:sz="4" w:space="0" w:color="000000"/>
            </w:tcBorders>
          </w:tcPr>
          <w:p w:rsidR="008B3E76" w:rsidRPr="0050629F" w:rsidRDefault="008B3E76" w:rsidP="008C40D5">
            <w:pPr>
              <w:kinsoku w:val="0"/>
              <w:overflowPunct w:val="0"/>
              <w:autoSpaceDE w:val="0"/>
              <w:autoSpaceDN w:val="0"/>
              <w:adjustRightInd w:val="0"/>
              <w:spacing w:after="0" w:line="240" w:lineRule="auto"/>
              <w:rPr>
                <w:rFonts w:ascii="Times New Roman" w:hAnsi="Times New Roman" w:cs="Times New Roman"/>
                <w:sz w:val="20"/>
                <w:szCs w:val="20"/>
              </w:rPr>
            </w:pPr>
          </w:p>
          <w:p w:rsidR="008B3E76" w:rsidRPr="0050629F" w:rsidRDefault="008B3E76" w:rsidP="008C40D5">
            <w:pPr>
              <w:kinsoku w:val="0"/>
              <w:overflowPunct w:val="0"/>
              <w:autoSpaceDE w:val="0"/>
              <w:autoSpaceDN w:val="0"/>
              <w:adjustRightInd w:val="0"/>
              <w:spacing w:before="172" w:after="0" w:line="276" w:lineRule="auto"/>
              <w:ind w:left="107" w:right="204"/>
              <w:rPr>
                <w:rFonts w:ascii="Times New Roman" w:hAnsi="Times New Roman" w:cs="Times New Roman"/>
                <w:sz w:val="20"/>
                <w:szCs w:val="20"/>
              </w:rPr>
            </w:pPr>
            <w:r w:rsidRPr="0050629F">
              <w:rPr>
                <w:rFonts w:ascii="Times New Roman" w:hAnsi="Times New Roman" w:cs="Times New Roman"/>
                <w:sz w:val="20"/>
                <w:szCs w:val="20"/>
              </w:rPr>
              <w:t>3. Grup Program Ülkeleri</w:t>
            </w:r>
          </w:p>
        </w:tc>
        <w:tc>
          <w:tcPr>
            <w:tcW w:w="4140" w:type="dxa"/>
            <w:tcBorders>
              <w:top w:val="single" w:sz="4" w:space="0" w:color="000000"/>
              <w:left w:val="single" w:sz="4" w:space="0" w:color="000000"/>
              <w:bottom w:val="single" w:sz="4" w:space="0" w:color="000000"/>
              <w:right w:val="single" w:sz="4" w:space="0" w:color="000000"/>
            </w:tcBorders>
          </w:tcPr>
          <w:p w:rsidR="008B3E76" w:rsidRPr="0050629F" w:rsidRDefault="008B3E76" w:rsidP="008C40D5">
            <w:pPr>
              <w:kinsoku w:val="0"/>
              <w:overflowPunct w:val="0"/>
              <w:autoSpaceDE w:val="0"/>
              <w:autoSpaceDN w:val="0"/>
              <w:adjustRightInd w:val="0"/>
              <w:spacing w:after="0" w:line="276" w:lineRule="auto"/>
              <w:ind w:left="108"/>
              <w:rPr>
                <w:rFonts w:ascii="Times New Roman" w:hAnsi="Times New Roman" w:cs="Times New Roman"/>
                <w:sz w:val="20"/>
                <w:szCs w:val="20"/>
              </w:rPr>
            </w:pPr>
            <w:r w:rsidRPr="0050629F">
              <w:rPr>
                <w:rFonts w:ascii="Times New Roman" w:hAnsi="Times New Roman" w:cs="Times New Roman"/>
                <w:sz w:val="20"/>
                <w:szCs w:val="20"/>
              </w:rPr>
              <w:t>Bulgaristan, Çek Cumhuriyeti, Estonya, Hırvatistan, Letonya, Litvanya, Macaristan, Makedonya, Polonya, Romanya, Sırbistan, Slovakya,</w:t>
            </w:r>
          </w:p>
          <w:p w:rsidR="008B3E76" w:rsidRPr="0050629F" w:rsidRDefault="008945C5" w:rsidP="008945C5">
            <w:pPr>
              <w:kinsoku w:val="0"/>
              <w:overflowPunct w:val="0"/>
              <w:autoSpaceDE w:val="0"/>
              <w:autoSpaceDN w:val="0"/>
              <w:adjustRightInd w:val="0"/>
              <w:spacing w:after="0" w:line="240" w:lineRule="auto"/>
              <w:ind w:left="108"/>
              <w:rPr>
                <w:rFonts w:ascii="Times New Roman" w:hAnsi="Times New Roman" w:cs="Times New Roman"/>
                <w:sz w:val="20"/>
                <w:szCs w:val="20"/>
              </w:rPr>
            </w:pPr>
            <w:r w:rsidRPr="0050629F">
              <w:rPr>
                <w:rFonts w:ascii="Times New Roman" w:hAnsi="Times New Roman" w:cs="Times New Roman"/>
                <w:sz w:val="20"/>
                <w:szCs w:val="20"/>
              </w:rPr>
              <w:t>Slovenya</w:t>
            </w:r>
          </w:p>
        </w:tc>
        <w:tc>
          <w:tcPr>
            <w:tcW w:w="1419" w:type="dxa"/>
            <w:tcBorders>
              <w:top w:val="single" w:sz="4" w:space="0" w:color="000000"/>
              <w:left w:val="single" w:sz="4" w:space="0" w:color="000000"/>
              <w:bottom w:val="single" w:sz="4" w:space="0" w:color="000000"/>
              <w:right w:val="single" w:sz="4" w:space="0" w:color="000000"/>
            </w:tcBorders>
          </w:tcPr>
          <w:p w:rsidR="008B3E76" w:rsidRPr="0050629F" w:rsidRDefault="008B3E76" w:rsidP="008C40D5">
            <w:pPr>
              <w:kinsoku w:val="0"/>
              <w:overflowPunct w:val="0"/>
              <w:autoSpaceDE w:val="0"/>
              <w:autoSpaceDN w:val="0"/>
              <w:adjustRightInd w:val="0"/>
              <w:spacing w:after="0" w:line="240" w:lineRule="auto"/>
              <w:rPr>
                <w:rFonts w:ascii="Times New Roman" w:hAnsi="Times New Roman" w:cs="Times New Roman"/>
                <w:sz w:val="20"/>
                <w:szCs w:val="20"/>
              </w:rPr>
            </w:pPr>
          </w:p>
          <w:p w:rsidR="008B3E76" w:rsidRPr="0050629F" w:rsidRDefault="008945C5" w:rsidP="008C40D5">
            <w:pPr>
              <w:kinsoku w:val="0"/>
              <w:overflowPunct w:val="0"/>
              <w:autoSpaceDE w:val="0"/>
              <w:autoSpaceDN w:val="0"/>
              <w:adjustRightInd w:val="0"/>
              <w:spacing w:after="0" w:line="240" w:lineRule="auto"/>
              <w:ind w:left="245" w:right="237"/>
              <w:jc w:val="center"/>
              <w:rPr>
                <w:rFonts w:ascii="Times New Roman" w:hAnsi="Times New Roman" w:cs="Times New Roman"/>
                <w:sz w:val="20"/>
                <w:szCs w:val="20"/>
              </w:rPr>
            </w:pPr>
            <w:r w:rsidRPr="0050629F">
              <w:rPr>
                <w:rFonts w:ascii="Times New Roman" w:hAnsi="Times New Roman" w:cs="Times New Roman"/>
                <w:sz w:val="20"/>
                <w:szCs w:val="20"/>
              </w:rPr>
              <w:t>300</w:t>
            </w:r>
          </w:p>
        </w:tc>
        <w:tc>
          <w:tcPr>
            <w:tcW w:w="1529" w:type="dxa"/>
            <w:tcBorders>
              <w:top w:val="single" w:sz="4" w:space="0" w:color="000000"/>
              <w:left w:val="single" w:sz="4" w:space="0" w:color="000000"/>
              <w:bottom w:val="single" w:sz="4" w:space="0" w:color="000000"/>
              <w:right w:val="single" w:sz="4" w:space="0" w:color="000000"/>
            </w:tcBorders>
          </w:tcPr>
          <w:p w:rsidR="008B3E76" w:rsidRPr="0050629F" w:rsidRDefault="008B3E76" w:rsidP="008C40D5">
            <w:pPr>
              <w:kinsoku w:val="0"/>
              <w:overflowPunct w:val="0"/>
              <w:autoSpaceDE w:val="0"/>
              <w:autoSpaceDN w:val="0"/>
              <w:adjustRightInd w:val="0"/>
              <w:spacing w:after="0" w:line="240" w:lineRule="auto"/>
              <w:rPr>
                <w:rFonts w:ascii="Times New Roman" w:hAnsi="Times New Roman" w:cs="Times New Roman"/>
                <w:sz w:val="20"/>
                <w:szCs w:val="20"/>
              </w:rPr>
            </w:pPr>
          </w:p>
          <w:p w:rsidR="008B3E76" w:rsidRPr="0050629F" w:rsidRDefault="008945C5" w:rsidP="008C40D5">
            <w:pPr>
              <w:kinsoku w:val="0"/>
              <w:overflowPunct w:val="0"/>
              <w:autoSpaceDE w:val="0"/>
              <w:autoSpaceDN w:val="0"/>
              <w:adjustRightInd w:val="0"/>
              <w:spacing w:after="0" w:line="240" w:lineRule="auto"/>
              <w:ind w:right="573"/>
              <w:jc w:val="right"/>
              <w:rPr>
                <w:rFonts w:ascii="Times New Roman" w:hAnsi="Times New Roman" w:cs="Times New Roman"/>
                <w:sz w:val="20"/>
                <w:szCs w:val="20"/>
              </w:rPr>
            </w:pPr>
            <w:r w:rsidRPr="0050629F">
              <w:rPr>
                <w:rFonts w:ascii="Times New Roman" w:hAnsi="Times New Roman" w:cs="Times New Roman"/>
                <w:sz w:val="20"/>
                <w:szCs w:val="20"/>
              </w:rPr>
              <w:t>400</w:t>
            </w:r>
          </w:p>
        </w:tc>
      </w:tr>
    </w:tbl>
    <w:p w:rsidR="008B3E76" w:rsidRPr="00142C3E" w:rsidRDefault="008B3E76" w:rsidP="008B3E76">
      <w:pPr>
        <w:kinsoku w:val="0"/>
        <w:overflowPunct w:val="0"/>
        <w:autoSpaceDE w:val="0"/>
        <w:autoSpaceDN w:val="0"/>
        <w:adjustRightInd w:val="0"/>
        <w:spacing w:before="201" w:after="0" w:line="240" w:lineRule="auto"/>
        <w:rPr>
          <w:rFonts w:ascii="Times New Roman" w:eastAsia="Times New Roman" w:hAnsi="Times New Roman" w:cs="Times New Roman"/>
          <w:bCs/>
          <w:color w:val="373737"/>
          <w:sz w:val="20"/>
          <w:szCs w:val="20"/>
          <w:lang w:eastAsia="tr-TR"/>
        </w:rPr>
      </w:pPr>
      <w:r>
        <w:rPr>
          <w:rFonts w:ascii="Times New Roman" w:eastAsia="Times New Roman" w:hAnsi="Times New Roman" w:cs="Times New Roman"/>
          <w:bCs/>
          <w:color w:val="373737"/>
          <w:sz w:val="20"/>
          <w:szCs w:val="20"/>
          <w:lang w:eastAsia="tr-TR"/>
        </w:rPr>
        <w:t xml:space="preserve">  </w:t>
      </w:r>
      <w:r w:rsidRPr="00EC3F84">
        <w:rPr>
          <w:rFonts w:ascii="Times New Roman" w:hAnsi="Times New Roman" w:cs="Times New Roman"/>
          <w:sz w:val="24"/>
          <w:szCs w:val="24"/>
        </w:rPr>
        <w:t>Tablo-2 Ülke gruplarına göre aylık hibe miktarları tablosu</w:t>
      </w:r>
    </w:p>
    <w:p w:rsidR="008B3E76" w:rsidRPr="00EC3F84" w:rsidRDefault="008B3E76" w:rsidP="008B3E76">
      <w:pPr>
        <w:kinsoku w:val="0"/>
        <w:overflowPunct w:val="0"/>
        <w:autoSpaceDE w:val="0"/>
        <w:autoSpaceDN w:val="0"/>
        <w:adjustRightInd w:val="0"/>
        <w:spacing w:before="161" w:after="0" w:line="276" w:lineRule="auto"/>
        <w:ind w:left="122" w:right="294"/>
        <w:jc w:val="both"/>
        <w:rPr>
          <w:rFonts w:ascii="Times New Roman" w:hAnsi="Times New Roman" w:cs="Times New Roman"/>
          <w:sz w:val="24"/>
          <w:szCs w:val="24"/>
        </w:rPr>
      </w:pPr>
      <w:r w:rsidRPr="00EC3F84">
        <w:rPr>
          <w:rFonts w:ascii="Times New Roman" w:hAnsi="Times New Roman" w:cs="Times New Roman"/>
          <w:sz w:val="23"/>
          <w:szCs w:val="23"/>
        </w:rPr>
        <w:t>Program ülkeleri arasında öğrenim ve staj hareketliliği için öğrencilere gidiş-dönüş seyahatleri için ayrıca destek verilmemektedir.</w:t>
      </w:r>
    </w:p>
    <w:p w:rsidR="008B3E76" w:rsidRDefault="008B3E76" w:rsidP="008B3E76">
      <w:pPr>
        <w:rPr>
          <w:rFonts w:ascii="Times New Roman" w:eastAsia="Times New Roman" w:hAnsi="Times New Roman" w:cs="Times New Roman"/>
          <w:b/>
          <w:bCs/>
          <w:color w:val="373737"/>
          <w:sz w:val="20"/>
          <w:szCs w:val="20"/>
          <w:lang w:eastAsia="tr-TR"/>
        </w:rPr>
      </w:pPr>
    </w:p>
    <w:p w:rsidR="008B3E76" w:rsidRPr="00142C3E" w:rsidRDefault="008B3E76" w:rsidP="008B3E76">
      <w:pPr>
        <w:jc w:val="center"/>
        <w:rPr>
          <w:rFonts w:ascii="Times New Roman" w:eastAsia="Times New Roman" w:hAnsi="Times New Roman" w:cs="Times New Roman"/>
          <w:b/>
          <w:bCs/>
          <w:color w:val="373737"/>
          <w:sz w:val="24"/>
          <w:szCs w:val="24"/>
          <w:lang w:eastAsia="tr-TR"/>
        </w:rPr>
      </w:pPr>
      <w:r w:rsidRPr="00142C3E">
        <w:rPr>
          <w:rFonts w:ascii="Times New Roman" w:eastAsia="Times New Roman" w:hAnsi="Times New Roman" w:cs="Times New Roman"/>
          <w:b/>
          <w:bCs/>
          <w:color w:val="373737"/>
          <w:sz w:val="24"/>
          <w:szCs w:val="24"/>
          <w:lang w:eastAsia="tr-TR"/>
        </w:rPr>
        <w:t>HİBESİZ YARARLANMA</w:t>
      </w:r>
    </w:p>
    <w:p w:rsidR="008B3E76" w:rsidRPr="0050629F" w:rsidRDefault="008B3E76" w:rsidP="0050629F">
      <w:pPr>
        <w:jc w:val="both"/>
        <w:rPr>
          <w:rFonts w:ascii="Times New Roman" w:eastAsia="Times New Roman" w:hAnsi="Times New Roman" w:cs="Times New Roman"/>
          <w:bCs/>
          <w:sz w:val="20"/>
          <w:szCs w:val="20"/>
          <w:lang w:eastAsia="tr-TR"/>
        </w:rPr>
      </w:pPr>
      <w:r w:rsidRPr="0050629F">
        <w:rPr>
          <w:rFonts w:ascii="Times New Roman" w:eastAsia="Times New Roman" w:hAnsi="Times New Roman" w:cs="Times New Roman"/>
          <w:bCs/>
          <w:sz w:val="20"/>
          <w:szCs w:val="20"/>
          <w:lang w:eastAsia="tr-TR"/>
        </w:rPr>
        <w:t>Öğrenciler, istedikleri takdirde hibe almaksızın faaliyetlere katılabilirler. Hibesiz öğrenciler de diğer başvurularla beraber genel değerlendirmeye tabi tutulur ve hibeli öğrencilerle aynı süreçten geçer. Hibesiz öğrencinin farkı, öğrencinin bütçe hesaplamalarına dâhil edilmemesi ve kendisine ödeme yapılmamasıdır. Hibe alınmaması öğrencinin seçim sürecine dâhil olmamasına gerekçe değildir.</w:t>
      </w:r>
    </w:p>
    <w:p w:rsidR="005A4BC0" w:rsidRDefault="005A4BC0" w:rsidP="00485634">
      <w:pPr>
        <w:jc w:val="center"/>
        <w:rPr>
          <w:rFonts w:ascii="Times New Roman" w:eastAsia="Times New Roman" w:hAnsi="Times New Roman" w:cs="Times New Roman"/>
          <w:b/>
          <w:bCs/>
          <w:color w:val="373737"/>
          <w:sz w:val="24"/>
          <w:szCs w:val="24"/>
          <w:lang w:eastAsia="tr-TR"/>
        </w:rPr>
      </w:pPr>
    </w:p>
    <w:p w:rsidR="002628EB" w:rsidRDefault="002628EB" w:rsidP="00485634">
      <w:pPr>
        <w:jc w:val="center"/>
        <w:rPr>
          <w:rFonts w:ascii="Times New Roman" w:eastAsia="Times New Roman" w:hAnsi="Times New Roman" w:cs="Times New Roman"/>
          <w:b/>
          <w:bCs/>
          <w:color w:val="373737"/>
          <w:sz w:val="24"/>
          <w:szCs w:val="24"/>
          <w:lang w:eastAsia="tr-TR"/>
        </w:rPr>
      </w:pPr>
      <w:r>
        <w:rPr>
          <w:rFonts w:ascii="Times New Roman" w:eastAsia="Times New Roman" w:hAnsi="Times New Roman" w:cs="Times New Roman"/>
          <w:b/>
          <w:bCs/>
          <w:color w:val="373737"/>
          <w:sz w:val="24"/>
          <w:szCs w:val="24"/>
          <w:lang w:eastAsia="tr-TR"/>
        </w:rPr>
        <w:t>STAJ HAREKETLİLİĞİ İÇİN DAVET MEKTUBUNUN TEMİN EDİLMESİ</w:t>
      </w:r>
    </w:p>
    <w:p w:rsidR="005A4BC0" w:rsidRDefault="002628EB" w:rsidP="002628EB">
      <w:pPr>
        <w:jc w:val="both"/>
        <w:rPr>
          <w:rFonts w:ascii="Times New Roman" w:eastAsia="Times New Roman" w:hAnsi="Times New Roman" w:cs="Times New Roman"/>
          <w:bCs/>
          <w:sz w:val="20"/>
          <w:szCs w:val="20"/>
          <w:lang w:eastAsia="tr-TR"/>
        </w:rPr>
      </w:pPr>
      <w:r w:rsidRPr="002628EB">
        <w:rPr>
          <w:rFonts w:ascii="Times New Roman" w:eastAsia="Times New Roman" w:hAnsi="Times New Roman" w:cs="Times New Roman"/>
          <w:bCs/>
          <w:sz w:val="20"/>
          <w:szCs w:val="20"/>
          <w:lang w:eastAsia="tr-TR"/>
        </w:rPr>
        <w:t xml:space="preserve">Koordinatörlüğümüz, öğrencilerimize staj hareketliliklerini gerçekleştirmek için staj yeri bulmamaktadır. Bu durumda öğrencilerimiz kendi </w:t>
      </w:r>
      <w:r w:rsidR="00D73F99">
        <w:rPr>
          <w:rFonts w:ascii="Times New Roman" w:eastAsia="Times New Roman" w:hAnsi="Times New Roman" w:cs="Times New Roman"/>
          <w:bCs/>
          <w:sz w:val="20"/>
          <w:szCs w:val="20"/>
          <w:lang w:eastAsia="tr-TR"/>
        </w:rPr>
        <w:t>staj yerlerini kendileri bulm</w:t>
      </w:r>
      <w:r w:rsidR="005A4BC0">
        <w:rPr>
          <w:rFonts w:ascii="Times New Roman" w:eastAsia="Times New Roman" w:hAnsi="Times New Roman" w:cs="Times New Roman"/>
          <w:bCs/>
          <w:sz w:val="20"/>
          <w:szCs w:val="20"/>
          <w:lang w:eastAsia="tr-TR"/>
        </w:rPr>
        <w:t>ak zorundadır. Başvuru dönemi içer</w:t>
      </w:r>
      <w:bookmarkStart w:id="0" w:name="_GoBack"/>
      <w:bookmarkEnd w:id="0"/>
      <w:r w:rsidR="005A4BC0">
        <w:rPr>
          <w:rFonts w:ascii="Times New Roman" w:eastAsia="Times New Roman" w:hAnsi="Times New Roman" w:cs="Times New Roman"/>
          <w:bCs/>
          <w:sz w:val="20"/>
          <w:szCs w:val="20"/>
          <w:lang w:eastAsia="tr-TR"/>
        </w:rPr>
        <w:t>isinde (</w:t>
      </w:r>
      <w:r w:rsidR="00AD40A4">
        <w:rPr>
          <w:rFonts w:ascii="Times New Roman" w:eastAsia="Times New Roman" w:hAnsi="Times New Roman" w:cs="Times New Roman"/>
          <w:bCs/>
          <w:sz w:val="20"/>
          <w:szCs w:val="20"/>
          <w:lang w:eastAsia="tr-TR"/>
        </w:rPr>
        <w:t>21</w:t>
      </w:r>
      <w:r w:rsidR="00A82BE8">
        <w:rPr>
          <w:rFonts w:ascii="Times New Roman" w:eastAsia="Times New Roman" w:hAnsi="Times New Roman" w:cs="Times New Roman"/>
          <w:bCs/>
          <w:sz w:val="20"/>
          <w:szCs w:val="20"/>
          <w:lang w:eastAsia="tr-TR"/>
        </w:rPr>
        <w:t xml:space="preserve"> Aralık</w:t>
      </w:r>
      <w:r w:rsidR="0050629F">
        <w:rPr>
          <w:rFonts w:ascii="Times New Roman" w:eastAsia="Times New Roman" w:hAnsi="Times New Roman" w:cs="Times New Roman"/>
          <w:bCs/>
          <w:sz w:val="20"/>
          <w:szCs w:val="20"/>
          <w:lang w:eastAsia="tr-TR"/>
        </w:rPr>
        <w:t xml:space="preserve"> – </w:t>
      </w:r>
      <w:r w:rsidR="00A82BE8">
        <w:rPr>
          <w:rFonts w:ascii="Times New Roman" w:eastAsia="Times New Roman" w:hAnsi="Times New Roman" w:cs="Times New Roman"/>
          <w:bCs/>
          <w:sz w:val="20"/>
          <w:szCs w:val="20"/>
          <w:lang w:eastAsia="tr-TR"/>
        </w:rPr>
        <w:t>04</w:t>
      </w:r>
      <w:r w:rsidR="008945C5" w:rsidRPr="008945C5">
        <w:rPr>
          <w:rFonts w:ascii="Times New Roman" w:eastAsia="Times New Roman" w:hAnsi="Times New Roman" w:cs="Times New Roman"/>
          <w:bCs/>
          <w:sz w:val="20"/>
          <w:szCs w:val="20"/>
          <w:lang w:eastAsia="tr-TR"/>
        </w:rPr>
        <w:t xml:space="preserve"> </w:t>
      </w:r>
      <w:r w:rsidR="0050629F">
        <w:rPr>
          <w:rFonts w:ascii="Times New Roman" w:eastAsia="Times New Roman" w:hAnsi="Times New Roman" w:cs="Times New Roman"/>
          <w:bCs/>
          <w:sz w:val="20"/>
          <w:szCs w:val="20"/>
          <w:lang w:eastAsia="tr-TR"/>
        </w:rPr>
        <w:t>Ocak</w:t>
      </w:r>
      <w:r w:rsidR="008945C5" w:rsidRPr="008945C5">
        <w:rPr>
          <w:rFonts w:ascii="Times New Roman" w:eastAsia="Times New Roman" w:hAnsi="Times New Roman" w:cs="Times New Roman"/>
          <w:bCs/>
          <w:sz w:val="20"/>
          <w:szCs w:val="20"/>
          <w:lang w:eastAsia="tr-TR"/>
        </w:rPr>
        <w:t xml:space="preserve"> 202</w:t>
      </w:r>
      <w:r w:rsidR="0050629F">
        <w:rPr>
          <w:rFonts w:ascii="Times New Roman" w:eastAsia="Times New Roman" w:hAnsi="Times New Roman" w:cs="Times New Roman"/>
          <w:bCs/>
          <w:sz w:val="20"/>
          <w:szCs w:val="20"/>
          <w:lang w:eastAsia="tr-TR"/>
        </w:rPr>
        <w:t>3</w:t>
      </w:r>
      <w:r w:rsidR="005A4BC0">
        <w:rPr>
          <w:rFonts w:ascii="Times New Roman" w:eastAsia="Times New Roman" w:hAnsi="Times New Roman" w:cs="Times New Roman"/>
          <w:bCs/>
          <w:sz w:val="20"/>
          <w:szCs w:val="20"/>
          <w:lang w:eastAsia="tr-TR"/>
        </w:rPr>
        <w:t>)</w:t>
      </w:r>
      <w:r w:rsidR="00D73F99">
        <w:rPr>
          <w:rFonts w:ascii="Times New Roman" w:eastAsia="Times New Roman" w:hAnsi="Times New Roman" w:cs="Times New Roman"/>
          <w:bCs/>
          <w:sz w:val="20"/>
          <w:szCs w:val="20"/>
          <w:lang w:eastAsia="tr-TR"/>
        </w:rPr>
        <w:t xml:space="preserve"> davet mektubu ibraz eden öğrencilerin değerlendirme puanlarına ‘+10’ ilave edilmektedir. </w:t>
      </w:r>
    </w:p>
    <w:p w:rsidR="002628EB" w:rsidRPr="005A4BC0" w:rsidRDefault="005A4BC0" w:rsidP="002628EB">
      <w:pPr>
        <w:jc w:val="both"/>
        <w:rPr>
          <w:rFonts w:ascii="Times New Roman" w:eastAsia="Times New Roman" w:hAnsi="Times New Roman" w:cs="Times New Roman"/>
          <w:b/>
          <w:bCs/>
          <w:sz w:val="20"/>
          <w:szCs w:val="20"/>
          <w:lang w:eastAsia="tr-TR"/>
        </w:rPr>
      </w:pPr>
      <w:r w:rsidRPr="005A4BC0">
        <w:rPr>
          <w:rFonts w:ascii="Times New Roman" w:eastAsia="Times New Roman" w:hAnsi="Times New Roman" w:cs="Times New Roman"/>
          <w:b/>
          <w:bCs/>
          <w:sz w:val="20"/>
          <w:szCs w:val="20"/>
          <w:lang w:eastAsia="tr-TR"/>
        </w:rPr>
        <w:t xml:space="preserve">Davet mektubu temin eden öğrencilerin, </w:t>
      </w:r>
      <w:r w:rsidR="00A82BE8">
        <w:rPr>
          <w:rFonts w:ascii="Times New Roman" w:eastAsia="Times New Roman" w:hAnsi="Times New Roman" w:cs="Times New Roman"/>
          <w:b/>
          <w:bCs/>
          <w:sz w:val="20"/>
          <w:szCs w:val="20"/>
          <w:lang w:eastAsia="tr-TR"/>
        </w:rPr>
        <w:t xml:space="preserve">e-devlet üzerinden başvuru ekranına ekledikten sonra </w:t>
      </w:r>
      <w:r w:rsidRPr="005A4BC0">
        <w:rPr>
          <w:rFonts w:ascii="Times New Roman" w:eastAsia="Times New Roman" w:hAnsi="Times New Roman" w:cs="Times New Roman"/>
          <w:b/>
          <w:bCs/>
          <w:sz w:val="20"/>
          <w:szCs w:val="20"/>
          <w:lang w:eastAsia="tr-TR"/>
        </w:rPr>
        <w:t xml:space="preserve">davet mektuplarını </w:t>
      </w:r>
      <w:hyperlink r:id="rId10" w:history="1">
        <w:r w:rsidRPr="005A4BC0">
          <w:rPr>
            <w:rStyle w:val="Kpr"/>
            <w:rFonts w:ascii="Times New Roman" w:eastAsia="Times New Roman" w:hAnsi="Times New Roman" w:cs="Times New Roman"/>
            <w:b/>
            <w:bCs/>
            <w:sz w:val="20"/>
            <w:szCs w:val="20"/>
            <w:lang w:eastAsia="tr-TR"/>
          </w:rPr>
          <w:t>erasmus@subu.edu.tr</w:t>
        </w:r>
      </w:hyperlink>
      <w:r w:rsidRPr="005A4BC0">
        <w:rPr>
          <w:rFonts w:ascii="Times New Roman" w:eastAsia="Times New Roman" w:hAnsi="Times New Roman" w:cs="Times New Roman"/>
          <w:b/>
          <w:bCs/>
          <w:sz w:val="20"/>
          <w:szCs w:val="20"/>
          <w:lang w:eastAsia="tr-TR"/>
        </w:rPr>
        <w:t xml:space="preserve"> adresine, ‘’Erasmus Staj Hareketliliği Davet Mektubu İbrazı’’ konu başlıklı mail ile iletmeleri gerekmektedir. </w:t>
      </w:r>
    </w:p>
    <w:p w:rsidR="005A4BC0" w:rsidRDefault="005A4BC0" w:rsidP="002628EB">
      <w:pPr>
        <w:jc w:val="both"/>
        <w:rPr>
          <w:rFonts w:ascii="Times New Roman" w:eastAsia="Times New Roman" w:hAnsi="Times New Roman" w:cs="Times New Roman"/>
          <w:bCs/>
          <w:color w:val="373737"/>
          <w:sz w:val="20"/>
          <w:szCs w:val="20"/>
          <w:lang w:eastAsia="tr-TR"/>
        </w:rPr>
      </w:pPr>
    </w:p>
    <w:p w:rsidR="002628EB" w:rsidRPr="002628EB" w:rsidRDefault="008945C5" w:rsidP="002628EB">
      <w:pPr>
        <w:pStyle w:val="Default"/>
        <w:jc w:val="both"/>
        <w:rPr>
          <w:b/>
          <w:bCs/>
          <w:sz w:val="23"/>
          <w:szCs w:val="23"/>
          <w:u w:val="single"/>
        </w:rPr>
      </w:pPr>
      <w:r>
        <w:rPr>
          <w:b/>
          <w:bCs/>
          <w:sz w:val="23"/>
          <w:szCs w:val="23"/>
          <w:u w:val="single"/>
        </w:rPr>
        <w:t>Uygun Staj Yeri Örnekleri:</w:t>
      </w:r>
    </w:p>
    <w:p w:rsidR="002628EB" w:rsidRDefault="002628EB" w:rsidP="002628EB">
      <w:pPr>
        <w:pStyle w:val="Default"/>
        <w:jc w:val="both"/>
        <w:rPr>
          <w:sz w:val="23"/>
          <w:szCs w:val="23"/>
        </w:rPr>
      </w:pPr>
    </w:p>
    <w:p w:rsidR="002628EB" w:rsidRPr="002628EB" w:rsidRDefault="002628EB" w:rsidP="002628EB">
      <w:pPr>
        <w:jc w:val="both"/>
        <w:rPr>
          <w:rFonts w:ascii="Times New Roman" w:eastAsia="Times New Roman" w:hAnsi="Times New Roman" w:cs="Times New Roman"/>
          <w:bCs/>
          <w:sz w:val="20"/>
          <w:szCs w:val="20"/>
          <w:lang w:eastAsia="tr-TR"/>
        </w:rPr>
      </w:pPr>
      <w:r w:rsidRPr="002628EB">
        <w:rPr>
          <w:rFonts w:ascii="Times New Roman" w:eastAsia="Times New Roman" w:hAnsi="Times New Roman" w:cs="Times New Roman"/>
          <w:bCs/>
          <w:sz w:val="20"/>
          <w:szCs w:val="20"/>
          <w:lang w:eastAsia="tr-TR"/>
        </w:rPr>
        <w:t xml:space="preserve">Staj faaliyeti gerçekleştirilebilecek ülkelerden birinde yerleşik, emek piyasasında ya da eğitim, öğretim, gençlik, araştırma ve geliştirme alanında herhangi bir kamu ya da özel sektör kuruluşu staj yeri olabilir. Sınırlandırıcı bir liste olmamakla birlikte aşağıdaki kuruluşlar uygun staj yeri örneği olarak sayılabilir: </w:t>
      </w:r>
    </w:p>
    <w:p w:rsidR="002628EB" w:rsidRPr="002628EB" w:rsidRDefault="002628EB" w:rsidP="002628EB">
      <w:pPr>
        <w:jc w:val="both"/>
        <w:rPr>
          <w:rFonts w:ascii="Times New Roman" w:eastAsia="Times New Roman" w:hAnsi="Times New Roman" w:cs="Times New Roman"/>
          <w:bCs/>
          <w:sz w:val="20"/>
          <w:szCs w:val="20"/>
          <w:lang w:eastAsia="tr-TR"/>
        </w:rPr>
      </w:pPr>
      <w:r w:rsidRPr="002628EB">
        <w:rPr>
          <w:rFonts w:ascii="Times New Roman" w:eastAsia="Times New Roman" w:hAnsi="Times New Roman" w:cs="Times New Roman"/>
          <w:bCs/>
          <w:sz w:val="20"/>
          <w:szCs w:val="20"/>
          <w:lang w:eastAsia="tr-TR"/>
        </w:rPr>
        <w:t xml:space="preserve">- bir kamu ya da özel sektöre ait küçük, ortak veya büyük ölçekli işletmeler </w:t>
      </w:r>
    </w:p>
    <w:p w:rsidR="002628EB" w:rsidRPr="002628EB" w:rsidRDefault="002628EB" w:rsidP="002628EB">
      <w:pPr>
        <w:jc w:val="both"/>
        <w:rPr>
          <w:rFonts w:ascii="Times New Roman" w:eastAsia="Times New Roman" w:hAnsi="Times New Roman" w:cs="Times New Roman"/>
          <w:bCs/>
          <w:sz w:val="20"/>
          <w:szCs w:val="20"/>
          <w:lang w:eastAsia="tr-TR"/>
        </w:rPr>
      </w:pPr>
      <w:r w:rsidRPr="002628EB">
        <w:rPr>
          <w:rFonts w:ascii="Times New Roman" w:eastAsia="Times New Roman" w:hAnsi="Times New Roman" w:cs="Times New Roman"/>
          <w:bCs/>
          <w:sz w:val="20"/>
          <w:szCs w:val="20"/>
          <w:lang w:eastAsia="tr-TR"/>
        </w:rPr>
        <w:t xml:space="preserve">- yerel, bölgesel ya da ulusal kamu kurumları </w:t>
      </w:r>
    </w:p>
    <w:p w:rsidR="002628EB" w:rsidRPr="002628EB" w:rsidRDefault="002628EB" w:rsidP="002628EB">
      <w:pPr>
        <w:jc w:val="both"/>
        <w:rPr>
          <w:rFonts w:ascii="Times New Roman" w:eastAsia="Times New Roman" w:hAnsi="Times New Roman" w:cs="Times New Roman"/>
          <w:bCs/>
          <w:sz w:val="20"/>
          <w:szCs w:val="20"/>
          <w:lang w:eastAsia="tr-TR"/>
        </w:rPr>
      </w:pPr>
      <w:r w:rsidRPr="002628EB">
        <w:rPr>
          <w:rFonts w:ascii="Times New Roman" w:eastAsia="Times New Roman" w:hAnsi="Times New Roman" w:cs="Times New Roman"/>
          <w:bCs/>
          <w:sz w:val="20"/>
          <w:szCs w:val="20"/>
          <w:lang w:eastAsia="tr-TR"/>
        </w:rPr>
        <w:t xml:space="preserve">- gönderen ülkenin yurtdışındaki büyükelçilikleri veya konsoloslukları </w:t>
      </w:r>
    </w:p>
    <w:p w:rsidR="002628EB" w:rsidRPr="002628EB" w:rsidRDefault="002628EB" w:rsidP="002628EB">
      <w:pPr>
        <w:jc w:val="both"/>
        <w:rPr>
          <w:rFonts w:ascii="Times New Roman" w:eastAsia="Times New Roman" w:hAnsi="Times New Roman" w:cs="Times New Roman"/>
          <w:bCs/>
          <w:sz w:val="20"/>
          <w:szCs w:val="20"/>
          <w:lang w:eastAsia="tr-TR"/>
        </w:rPr>
      </w:pPr>
      <w:r w:rsidRPr="002628EB">
        <w:rPr>
          <w:rFonts w:ascii="Times New Roman" w:eastAsia="Times New Roman" w:hAnsi="Times New Roman" w:cs="Times New Roman"/>
          <w:bCs/>
          <w:sz w:val="20"/>
          <w:szCs w:val="20"/>
          <w:lang w:eastAsia="tr-TR"/>
        </w:rPr>
        <w:t xml:space="preserve">- ticaret odaları, esnaf-zanaatkâr birlikleri, borsalar ve sendika gibi iş dünyasına ait her türlü oluşum/birlik </w:t>
      </w:r>
    </w:p>
    <w:p w:rsidR="002628EB" w:rsidRPr="002628EB" w:rsidRDefault="002628EB" w:rsidP="002628EB">
      <w:pPr>
        <w:jc w:val="both"/>
        <w:rPr>
          <w:rFonts w:ascii="Times New Roman" w:eastAsia="Times New Roman" w:hAnsi="Times New Roman" w:cs="Times New Roman"/>
          <w:bCs/>
          <w:sz w:val="20"/>
          <w:szCs w:val="20"/>
          <w:lang w:eastAsia="tr-TR"/>
        </w:rPr>
      </w:pPr>
      <w:r w:rsidRPr="002628EB">
        <w:rPr>
          <w:rFonts w:ascii="Times New Roman" w:eastAsia="Times New Roman" w:hAnsi="Times New Roman" w:cs="Times New Roman"/>
          <w:bCs/>
          <w:sz w:val="20"/>
          <w:szCs w:val="20"/>
          <w:lang w:eastAsia="tr-TR"/>
        </w:rPr>
        <w:t xml:space="preserve">- araştırma enstitüleri </w:t>
      </w:r>
    </w:p>
    <w:p w:rsidR="002628EB" w:rsidRPr="002628EB" w:rsidRDefault="002628EB" w:rsidP="002628EB">
      <w:pPr>
        <w:jc w:val="both"/>
        <w:rPr>
          <w:rFonts w:ascii="Times New Roman" w:eastAsia="Times New Roman" w:hAnsi="Times New Roman" w:cs="Times New Roman"/>
          <w:bCs/>
          <w:sz w:val="20"/>
          <w:szCs w:val="20"/>
          <w:lang w:eastAsia="tr-TR"/>
        </w:rPr>
      </w:pPr>
      <w:r w:rsidRPr="002628EB">
        <w:rPr>
          <w:rFonts w:ascii="Times New Roman" w:eastAsia="Times New Roman" w:hAnsi="Times New Roman" w:cs="Times New Roman"/>
          <w:bCs/>
          <w:sz w:val="20"/>
          <w:szCs w:val="20"/>
          <w:lang w:eastAsia="tr-TR"/>
        </w:rPr>
        <w:t xml:space="preserve">- vakıflar </w:t>
      </w:r>
    </w:p>
    <w:p w:rsidR="002628EB" w:rsidRPr="002628EB" w:rsidRDefault="002628EB" w:rsidP="002628EB">
      <w:pPr>
        <w:jc w:val="both"/>
        <w:rPr>
          <w:rFonts w:ascii="Times New Roman" w:eastAsia="Times New Roman" w:hAnsi="Times New Roman" w:cs="Times New Roman"/>
          <w:bCs/>
          <w:sz w:val="20"/>
          <w:szCs w:val="20"/>
          <w:lang w:eastAsia="tr-TR"/>
        </w:rPr>
      </w:pPr>
      <w:r w:rsidRPr="002628EB">
        <w:rPr>
          <w:rFonts w:ascii="Times New Roman" w:eastAsia="Times New Roman" w:hAnsi="Times New Roman" w:cs="Times New Roman"/>
          <w:bCs/>
          <w:sz w:val="20"/>
          <w:szCs w:val="20"/>
          <w:lang w:eastAsia="tr-TR"/>
        </w:rPr>
        <w:t xml:space="preserve">- okul/enstitü/eğitim merkezi (mesleki eğitim veya yetişkin eğitim dâhil olmak üzere okul öncesinden lise eğitimine kadar her türlü eğitim kurumu olabilir) </w:t>
      </w:r>
    </w:p>
    <w:p w:rsidR="002628EB" w:rsidRPr="002628EB" w:rsidRDefault="002628EB" w:rsidP="002628EB">
      <w:pPr>
        <w:jc w:val="both"/>
        <w:rPr>
          <w:rFonts w:ascii="Times New Roman" w:eastAsia="Times New Roman" w:hAnsi="Times New Roman" w:cs="Times New Roman"/>
          <w:bCs/>
          <w:sz w:val="20"/>
          <w:szCs w:val="20"/>
          <w:lang w:eastAsia="tr-TR"/>
        </w:rPr>
      </w:pPr>
      <w:r w:rsidRPr="002628EB">
        <w:rPr>
          <w:rFonts w:ascii="Times New Roman" w:eastAsia="Times New Roman" w:hAnsi="Times New Roman" w:cs="Times New Roman"/>
          <w:bCs/>
          <w:sz w:val="20"/>
          <w:szCs w:val="20"/>
          <w:lang w:eastAsia="tr-TR"/>
        </w:rPr>
        <w:t xml:space="preserve">- kar amacı gütmeyen kurumlar, dernekler, STK’lar </w:t>
      </w:r>
    </w:p>
    <w:p w:rsidR="002628EB" w:rsidRPr="002628EB" w:rsidRDefault="002628EB" w:rsidP="002628EB">
      <w:pPr>
        <w:jc w:val="both"/>
        <w:rPr>
          <w:rFonts w:ascii="Times New Roman" w:eastAsia="Times New Roman" w:hAnsi="Times New Roman" w:cs="Times New Roman"/>
          <w:bCs/>
          <w:sz w:val="20"/>
          <w:szCs w:val="20"/>
          <w:lang w:eastAsia="tr-TR"/>
        </w:rPr>
      </w:pPr>
      <w:r w:rsidRPr="002628EB">
        <w:rPr>
          <w:rFonts w:ascii="Times New Roman" w:eastAsia="Times New Roman" w:hAnsi="Times New Roman" w:cs="Times New Roman"/>
          <w:bCs/>
          <w:sz w:val="20"/>
          <w:szCs w:val="20"/>
          <w:lang w:eastAsia="tr-TR"/>
        </w:rPr>
        <w:t xml:space="preserve">- kariyer planlama, profesyonel danışmanlık ve bilgilendirme hizmeti sunan kurumlar </w:t>
      </w:r>
    </w:p>
    <w:p w:rsidR="002628EB" w:rsidRDefault="002628EB" w:rsidP="002628EB">
      <w:pPr>
        <w:jc w:val="both"/>
        <w:rPr>
          <w:rFonts w:ascii="Times New Roman" w:eastAsia="Times New Roman" w:hAnsi="Times New Roman" w:cs="Times New Roman"/>
          <w:bCs/>
          <w:sz w:val="20"/>
          <w:szCs w:val="20"/>
          <w:lang w:eastAsia="tr-TR"/>
        </w:rPr>
      </w:pPr>
      <w:r w:rsidRPr="002628EB">
        <w:rPr>
          <w:rFonts w:ascii="Times New Roman" w:eastAsia="Times New Roman" w:hAnsi="Times New Roman" w:cs="Times New Roman"/>
          <w:bCs/>
          <w:sz w:val="20"/>
          <w:szCs w:val="20"/>
          <w:lang w:eastAsia="tr-TR"/>
        </w:rPr>
        <w:t>- yükseköğretim kurumları (Program ülkelerinde yer alan yükseköğretim kurumları ECHE sahibi olmalı, ortak ülkelerdeki yükseköğretim kurumları kendi ulusal mevzuatları uyarınca yetkili bir merci tarafından tanınmış ve staj faaliyetinden önce gönderen kurumla ikili kurumlar</w:t>
      </w:r>
      <w:r>
        <w:rPr>
          <w:rFonts w:ascii="Times New Roman" w:eastAsia="Times New Roman" w:hAnsi="Times New Roman" w:cs="Times New Roman"/>
          <w:bCs/>
          <w:sz w:val="20"/>
          <w:szCs w:val="20"/>
          <w:lang w:eastAsia="tr-TR"/>
        </w:rPr>
        <w:t xml:space="preserve"> </w:t>
      </w:r>
      <w:r w:rsidRPr="002628EB">
        <w:rPr>
          <w:rFonts w:ascii="Times New Roman" w:eastAsia="Times New Roman" w:hAnsi="Times New Roman" w:cs="Times New Roman"/>
          <w:bCs/>
          <w:sz w:val="20"/>
          <w:szCs w:val="20"/>
          <w:lang w:eastAsia="tr-TR"/>
        </w:rPr>
        <w:t>arası anlaşma imzalamış olmalı)</w:t>
      </w:r>
    </w:p>
    <w:p w:rsidR="002628EB" w:rsidRPr="002628EB" w:rsidRDefault="002628EB" w:rsidP="002628EB">
      <w:pPr>
        <w:pStyle w:val="Default"/>
        <w:rPr>
          <w:sz w:val="23"/>
          <w:szCs w:val="23"/>
          <w:u w:val="single"/>
        </w:rPr>
      </w:pPr>
      <w:r w:rsidRPr="002628EB">
        <w:rPr>
          <w:sz w:val="23"/>
          <w:szCs w:val="23"/>
          <w:u w:val="single"/>
        </w:rPr>
        <w:t>Aşağıdaki kuruluşlar Erasmus+ kapsamında yükseköğretim staj faaliyeti için uygun değildir:</w:t>
      </w:r>
    </w:p>
    <w:p w:rsidR="002628EB" w:rsidRDefault="002628EB" w:rsidP="002628EB">
      <w:pPr>
        <w:pStyle w:val="Default"/>
        <w:rPr>
          <w:sz w:val="23"/>
          <w:szCs w:val="23"/>
        </w:rPr>
      </w:pPr>
    </w:p>
    <w:p w:rsidR="002628EB" w:rsidRPr="002628EB" w:rsidRDefault="002628EB" w:rsidP="002628EB">
      <w:pPr>
        <w:jc w:val="both"/>
        <w:rPr>
          <w:rFonts w:ascii="Times New Roman" w:eastAsia="Times New Roman" w:hAnsi="Times New Roman" w:cs="Times New Roman"/>
          <w:bCs/>
          <w:sz w:val="20"/>
          <w:szCs w:val="20"/>
          <w:lang w:eastAsia="tr-TR"/>
        </w:rPr>
      </w:pPr>
      <w:r w:rsidRPr="002628EB">
        <w:rPr>
          <w:rFonts w:ascii="Times New Roman" w:eastAsia="Times New Roman" w:hAnsi="Times New Roman" w:cs="Times New Roman"/>
          <w:bCs/>
          <w:sz w:val="20"/>
          <w:szCs w:val="20"/>
          <w:lang w:eastAsia="tr-TR"/>
        </w:rPr>
        <w:t xml:space="preserve">- Avrupa Birliği kurumları ve AB ajansları (bk. </w:t>
      </w:r>
      <w:r w:rsidRPr="002628EB">
        <w:rPr>
          <w:rFonts w:ascii="Times New Roman" w:eastAsia="Times New Roman" w:hAnsi="Times New Roman" w:cs="Times New Roman"/>
          <w:b/>
          <w:bCs/>
          <w:color w:val="5B9BD5" w:themeColor="accent1"/>
          <w:sz w:val="20"/>
          <w:szCs w:val="20"/>
          <w:u w:val="single"/>
          <w:lang w:eastAsia="tr-TR"/>
        </w:rPr>
        <w:t>https://</w:t>
      </w:r>
      <w:proofErr w:type="gramStart"/>
      <w:r w:rsidRPr="002628EB">
        <w:rPr>
          <w:rFonts w:ascii="Times New Roman" w:eastAsia="Times New Roman" w:hAnsi="Times New Roman" w:cs="Times New Roman"/>
          <w:b/>
          <w:bCs/>
          <w:color w:val="5B9BD5" w:themeColor="accent1"/>
          <w:sz w:val="20"/>
          <w:szCs w:val="20"/>
          <w:u w:val="single"/>
          <w:lang w:eastAsia="tr-TR"/>
        </w:rPr>
        <w:t>europa.eu</w:t>
      </w:r>
      <w:proofErr w:type="gramEnd"/>
      <w:r w:rsidRPr="002628EB">
        <w:rPr>
          <w:rFonts w:ascii="Times New Roman" w:eastAsia="Times New Roman" w:hAnsi="Times New Roman" w:cs="Times New Roman"/>
          <w:b/>
          <w:bCs/>
          <w:color w:val="5B9BD5" w:themeColor="accent1"/>
          <w:sz w:val="20"/>
          <w:szCs w:val="20"/>
          <w:u w:val="single"/>
          <w:lang w:eastAsia="tr-TR"/>
        </w:rPr>
        <w:t>/european-union/about-eu/institutions-bodies_en</w:t>
      </w:r>
      <w:r w:rsidRPr="002628EB">
        <w:rPr>
          <w:rFonts w:ascii="Times New Roman" w:eastAsia="Times New Roman" w:hAnsi="Times New Roman" w:cs="Times New Roman"/>
          <w:bCs/>
          <w:sz w:val="20"/>
          <w:szCs w:val="20"/>
          <w:lang w:eastAsia="tr-TR"/>
        </w:rPr>
        <w:t xml:space="preserve"> ) </w:t>
      </w:r>
    </w:p>
    <w:p w:rsidR="002628EB" w:rsidRDefault="002628EB" w:rsidP="002628EB">
      <w:pPr>
        <w:jc w:val="both"/>
        <w:rPr>
          <w:rFonts w:ascii="Times New Roman" w:eastAsia="Times New Roman" w:hAnsi="Times New Roman" w:cs="Times New Roman"/>
          <w:bCs/>
          <w:sz w:val="20"/>
          <w:szCs w:val="20"/>
          <w:lang w:eastAsia="tr-TR"/>
        </w:rPr>
      </w:pPr>
      <w:r w:rsidRPr="002628EB">
        <w:rPr>
          <w:rFonts w:ascii="Times New Roman" w:eastAsia="Times New Roman" w:hAnsi="Times New Roman" w:cs="Times New Roman"/>
          <w:bCs/>
          <w:sz w:val="20"/>
          <w:szCs w:val="20"/>
          <w:lang w:eastAsia="tr-TR"/>
        </w:rPr>
        <w:t>- AB programlarını yürüten Ulusal Ajans vb. kuruluşlar.</w:t>
      </w:r>
    </w:p>
    <w:p w:rsidR="005A4BC0" w:rsidRDefault="005A4BC0" w:rsidP="002628EB">
      <w:pPr>
        <w:jc w:val="both"/>
        <w:rPr>
          <w:rFonts w:ascii="Times New Roman" w:eastAsia="Times New Roman" w:hAnsi="Times New Roman" w:cs="Times New Roman"/>
          <w:bCs/>
          <w:sz w:val="20"/>
          <w:szCs w:val="20"/>
          <w:lang w:eastAsia="tr-TR"/>
        </w:rPr>
      </w:pPr>
    </w:p>
    <w:p w:rsidR="005A4BC0" w:rsidRPr="002628EB" w:rsidRDefault="005A4BC0" w:rsidP="002628EB">
      <w:pPr>
        <w:jc w:val="both"/>
        <w:rPr>
          <w:rFonts w:ascii="Times New Roman" w:eastAsia="Times New Roman" w:hAnsi="Times New Roman" w:cs="Times New Roman"/>
          <w:bCs/>
          <w:sz w:val="20"/>
          <w:szCs w:val="20"/>
          <w:lang w:eastAsia="tr-TR"/>
        </w:rPr>
      </w:pPr>
    </w:p>
    <w:p w:rsidR="00485634" w:rsidRPr="00485634" w:rsidRDefault="00485634" w:rsidP="00485634">
      <w:pPr>
        <w:jc w:val="center"/>
        <w:rPr>
          <w:rFonts w:ascii="Times New Roman" w:eastAsia="Times New Roman" w:hAnsi="Times New Roman" w:cs="Times New Roman"/>
          <w:b/>
          <w:bCs/>
          <w:color w:val="373737"/>
          <w:sz w:val="24"/>
          <w:szCs w:val="24"/>
          <w:lang w:eastAsia="tr-TR"/>
        </w:rPr>
      </w:pPr>
      <w:r w:rsidRPr="00485634">
        <w:rPr>
          <w:rFonts w:ascii="Times New Roman" w:eastAsia="Times New Roman" w:hAnsi="Times New Roman" w:cs="Times New Roman"/>
          <w:b/>
          <w:bCs/>
          <w:color w:val="373737"/>
          <w:sz w:val="24"/>
          <w:szCs w:val="24"/>
          <w:lang w:eastAsia="tr-TR"/>
        </w:rPr>
        <w:t>BAŞVURULARIN DEĞERLENDİRİLMESİ</w:t>
      </w:r>
    </w:p>
    <w:p w:rsidR="00485634" w:rsidRPr="00EC3F84" w:rsidRDefault="00485634" w:rsidP="00485634">
      <w:pPr>
        <w:tabs>
          <w:tab w:val="num" w:pos="720"/>
        </w:tabs>
        <w:rPr>
          <w:rFonts w:ascii="Times New Roman" w:eastAsia="Times New Roman" w:hAnsi="Times New Roman" w:cs="Times New Roman"/>
          <w:b/>
          <w:bCs/>
          <w:color w:val="373737"/>
          <w:sz w:val="20"/>
          <w:szCs w:val="20"/>
          <w:lang w:eastAsia="tr-TR"/>
        </w:rPr>
      </w:pPr>
      <w:r w:rsidRPr="00EC3F84">
        <w:rPr>
          <w:rFonts w:ascii="Times New Roman" w:eastAsia="Times New Roman" w:hAnsi="Times New Roman" w:cs="Times New Roman"/>
          <w:b/>
          <w:bCs/>
          <w:color w:val="373737"/>
          <w:sz w:val="20"/>
          <w:szCs w:val="20"/>
          <w:lang w:eastAsia="tr-TR"/>
        </w:rPr>
        <w:t>Erasmus+ Öğrenci; Staj Hareketliliği Başvurularının Değerlendirilmesinde Kullanılacak Puanlandırma Kriterleri</w:t>
      </w:r>
    </w:p>
    <w:p w:rsidR="00485634" w:rsidRPr="00EC3F84" w:rsidRDefault="00485634" w:rsidP="00485634">
      <w:pPr>
        <w:tabs>
          <w:tab w:val="num" w:pos="720"/>
        </w:tabs>
        <w:rPr>
          <w:rFonts w:ascii="Times New Roman" w:eastAsia="Times New Roman" w:hAnsi="Times New Roman" w:cs="Times New Roman"/>
          <w:bCs/>
          <w:color w:val="373737"/>
          <w:sz w:val="20"/>
          <w:szCs w:val="20"/>
          <w:lang w:eastAsia="tr-TR"/>
        </w:rPr>
      </w:pPr>
      <w:r w:rsidRPr="00EC3F84">
        <w:rPr>
          <w:rFonts w:ascii="Times New Roman" w:eastAsia="Times New Roman" w:hAnsi="Times New Roman" w:cs="Times New Roman"/>
          <w:bCs/>
          <w:color w:val="373737"/>
          <w:sz w:val="20"/>
          <w:szCs w:val="20"/>
          <w:lang w:eastAsia="tr-TR"/>
        </w:rPr>
        <w:t>Öğrencinin yükseköğretim kurumu bünyesinde örgün eğitim kademelerinin herhangi birinde (birinci, ikinci veya üçüncü kademe)</w:t>
      </w:r>
      <w:r w:rsidR="00D73F99">
        <w:rPr>
          <w:rFonts w:ascii="Times New Roman" w:eastAsia="Times New Roman" w:hAnsi="Times New Roman" w:cs="Times New Roman"/>
          <w:bCs/>
          <w:color w:val="373737"/>
          <w:sz w:val="20"/>
          <w:szCs w:val="20"/>
          <w:lang w:eastAsia="tr-TR"/>
        </w:rPr>
        <w:t xml:space="preserve"> </w:t>
      </w:r>
      <w:r w:rsidRPr="00EC3F84">
        <w:rPr>
          <w:rFonts w:ascii="Times New Roman" w:eastAsia="Times New Roman" w:hAnsi="Times New Roman" w:cs="Times New Roman"/>
          <w:bCs/>
          <w:color w:val="373737"/>
          <w:sz w:val="20"/>
          <w:szCs w:val="20"/>
          <w:lang w:eastAsia="tr-TR"/>
        </w:rPr>
        <w:t>yükseköğretim programına kayıtlı, tam zamanlı öğrenci olup,</w:t>
      </w:r>
    </w:p>
    <w:p w:rsidR="00485634" w:rsidRPr="00EC3F84" w:rsidRDefault="00485634" w:rsidP="00485634">
      <w:pPr>
        <w:tabs>
          <w:tab w:val="num" w:pos="720"/>
        </w:tabs>
        <w:rPr>
          <w:rFonts w:ascii="Times New Roman" w:eastAsia="Times New Roman" w:hAnsi="Times New Roman" w:cs="Times New Roman"/>
          <w:bCs/>
          <w:color w:val="373737"/>
          <w:sz w:val="20"/>
          <w:szCs w:val="20"/>
          <w:lang w:eastAsia="tr-TR"/>
        </w:rPr>
      </w:pPr>
      <w:r w:rsidRPr="00EC3F84">
        <w:rPr>
          <w:rFonts w:ascii="Times New Roman" w:eastAsia="Times New Roman" w:hAnsi="Times New Roman" w:cs="Times New Roman"/>
          <w:bCs/>
          <w:color w:val="373737"/>
          <w:sz w:val="20"/>
          <w:szCs w:val="20"/>
          <w:lang w:eastAsia="tr-TR"/>
        </w:rPr>
        <w:t xml:space="preserve">a) </w:t>
      </w:r>
      <w:r w:rsidRPr="00EC3F84">
        <w:rPr>
          <w:rFonts w:ascii="Times New Roman" w:eastAsia="Times New Roman" w:hAnsi="Times New Roman" w:cs="Times New Roman"/>
          <w:b/>
          <w:bCs/>
          <w:i/>
          <w:iCs/>
          <w:color w:val="373737"/>
          <w:sz w:val="20"/>
          <w:szCs w:val="20"/>
          <w:lang w:eastAsia="tr-TR"/>
        </w:rPr>
        <w:t xml:space="preserve">Birinci kademe </w:t>
      </w:r>
      <w:r w:rsidRPr="00EC3F84">
        <w:rPr>
          <w:rFonts w:ascii="Times New Roman" w:eastAsia="Times New Roman" w:hAnsi="Times New Roman" w:cs="Times New Roman"/>
          <w:bCs/>
          <w:color w:val="373737"/>
          <w:sz w:val="20"/>
          <w:szCs w:val="20"/>
          <w:lang w:eastAsia="tr-TR"/>
        </w:rPr>
        <w:t>öğrencilerinin kümülatif akademik not ortalamasının en az 2.20/4.00,</w:t>
      </w:r>
    </w:p>
    <w:p w:rsidR="00485634" w:rsidRPr="00EC3F84" w:rsidRDefault="00485634" w:rsidP="00485634">
      <w:pPr>
        <w:tabs>
          <w:tab w:val="num" w:pos="720"/>
        </w:tabs>
        <w:rPr>
          <w:rFonts w:ascii="Times New Roman" w:eastAsia="Times New Roman" w:hAnsi="Times New Roman" w:cs="Times New Roman"/>
          <w:bCs/>
          <w:color w:val="373737"/>
          <w:sz w:val="20"/>
          <w:szCs w:val="20"/>
          <w:lang w:eastAsia="tr-TR"/>
        </w:rPr>
      </w:pPr>
      <w:r w:rsidRPr="00EC3F84">
        <w:rPr>
          <w:rFonts w:ascii="Times New Roman" w:eastAsia="Times New Roman" w:hAnsi="Times New Roman" w:cs="Times New Roman"/>
          <w:bCs/>
          <w:color w:val="373737"/>
          <w:sz w:val="20"/>
          <w:szCs w:val="20"/>
          <w:lang w:eastAsia="tr-TR"/>
        </w:rPr>
        <w:t xml:space="preserve">b) </w:t>
      </w:r>
      <w:r w:rsidRPr="00EC3F84">
        <w:rPr>
          <w:rFonts w:ascii="Times New Roman" w:eastAsia="Times New Roman" w:hAnsi="Times New Roman" w:cs="Times New Roman"/>
          <w:b/>
          <w:bCs/>
          <w:i/>
          <w:iCs/>
          <w:color w:val="373737"/>
          <w:sz w:val="20"/>
          <w:szCs w:val="20"/>
          <w:lang w:eastAsia="tr-TR"/>
        </w:rPr>
        <w:t xml:space="preserve">İkinci ve üçüncü kademe </w:t>
      </w:r>
      <w:r w:rsidRPr="00EC3F84">
        <w:rPr>
          <w:rFonts w:ascii="Times New Roman" w:eastAsia="Times New Roman" w:hAnsi="Times New Roman" w:cs="Times New Roman"/>
          <w:bCs/>
          <w:color w:val="373737"/>
          <w:sz w:val="20"/>
          <w:szCs w:val="20"/>
          <w:lang w:eastAsia="tr-TR"/>
        </w:rPr>
        <w:t>öğrencilerinin kümülatif akademik not ortalamasının en az</w:t>
      </w:r>
      <w:r w:rsidR="00437E09">
        <w:rPr>
          <w:rFonts w:ascii="Times New Roman" w:eastAsia="Times New Roman" w:hAnsi="Times New Roman" w:cs="Times New Roman"/>
          <w:bCs/>
          <w:color w:val="373737"/>
          <w:sz w:val="20"/>
          <w:szCs w:val="20"/>
          <w:lang w:eastAsia="tr-TR"/>
        </w:rPr>
        <w:t xml:space="preserve"> </w:t>
      </w:r>
      <w:r w:rsidRPr="00EC3F84">
        <w:rPr>
          <w:rFonts w:ascii="Times New Roman" w:eastAsia="Times New Roman" w:hAnsi="Times New Roman" w:cs="Times New Roman"/>
          <w:bCs/>
          <w:color w:val="373737"/>
          <w:sz w:val="20"/>
          <w:szCs w:val="20"/>
          <w:lang w:eastAsia="tr-TR"/>
        </w:rPr>
        <w:t>2.50/4.00,</w:t>
      </w:r>
    </w:p>
    <w:p w:rsidR="00485634" w:rsidRPr="00EC3F84" w:rsidRDefault="00485634" w:rsidP="00485634">
      <w:pPr>
        <w:tabs>
          <w:tab w:val="num" w:pos="720"/>
        </w:tabs>
        <w:rPr>
          <w:rFonts w:ascii="Times New Roman" w:eastAsia="Times New Roman" w:hAnsi="Times New Roman" w:cs="Times New Roman"/>
          <w:bCs/>
          <w:color w:val="373737"/>
          <w:sz w:val="20"/>
          <w:szCs w:val="20"/>
          <w:lang w:eastAsia="tr-TR"/>
        </w:rPr>
      </w:pPr>
      <w:r w:rsidRPr="00EC3F84">
        <w:rPr>
          <w:rFonts w:ascii="Times New Roman" w:eastAsia="Times New Roman" w:hAnsi="Times New Roman" w:cs="Times New Roman"/>
          <w:bCs/>
          <w:color w:val="373737"/>
          <w:sz w:val="20"/>
          <w:szCs w:val="20"/>
          <w:lang w:eastAsia="tr-TR"/>
        </w:rPr>
        <w:t>d) Mevcut öğrenim kademesi içerisinde Erasmus+ ve Hayatboyu Öğrenme (LLP)</w:t>
      </w:r>
      <w:r w:rsidR="00776D36">
        <w:rPr>
          <w:rFonts w:ascii="Times New Roman" w:eastAsia="Times New Roman" w:hAnsi="Times New Roman" w:cs="Times New Roman"/>
          <w:bCs/>
          <w:color w:val="373737"/>
          <w:sz w:val="20"/>
          <w:szCs w:val="20"/>
          <w:lang w:eastAsia="tr-TR"/>
        </w:rPr>
        <w:t xml:space="preserve"> </w:t>
      </w:r>
      <w:r w:rsidRPr="00EC3F84">
        <w:rPr>
          <w:rFonts w:ascii="Times New Roman" w:eastAsia="Times New Roman" w:hAnsi="Times New Roman" w:cs="Times New Roman"/>
          <w:bCs/>
          <w:color w:val="373737"/>
          <w:sz w:val="20"/>
          <w:szCs w:val="20"/>
          <w:lang w:eastAsia="tr-TR"/>
        </w:rPr>
        <w:t>döneminde yükseköğretim hareketliliği faaliyetlerinden yararlanmışsa, yeni faaliyetle beraber toplam sürenin 12 ayı geçmemesi, şartlarını sağlayan tüm öğrenciler hareketliliğe başvuru yapabilirler.</w:t>
      </w:r>
    </w:p>
    <w:p w:rsidR="00634E33" w:rsidRPr="00437E09" w:rsidRDefault="00485634" w:rsidP="00634E33">
      <w:pPr>
        <w:tabs>
          <w:tab w:val="num" w:pos="720"/>
        </w:tabs>
        <w:rPr>
          <w:rFonts w:ascii="Times New Roman" w:eastAsia="Times New Roman" w:hAnsi="Times New Roman" w:cs="Times New Roman"/>
          <w:bCs/>
          <w:color w:val="373737"/>
          <w:sz w:val="20"/>
          <w:szCs w:val="20"/>
          <w:lang w:eastAsia="tr-TR"/>
        </w:rPr>
      </w:pPr>
      <w:r w:rsidRPr="00EC3F84">
        <w:rPr>
          <w:rFonts w:ascii="Times New Roman" w:eastAsia="Times New Roman" w:hAnsi="Times New Roman" w:cs="Times New Roman"/>
          <w:bCs/>
          <w:color w:val="373737"/>
          <w:sz w:val="20"/>
          <w:szCs w:val="20"/>
          <w:lang w:eastAsia="tr-TR"/>
        </w:rPr>
        <w:t xml:space="preserve">Hareketlilik başvurularını değerlendirmede kullanılacak </w:t>
      </w:r>
      <w:r w:rsidRPr="00EC3F84">
        <w:rPr>
          <w:rFonts w:ascii="Times New Roman" w:eastAsia="Times New Roman" w:hAnsi="Times New Roman" w:cs="Times New Roman"/>
          <w:b/>
          <w:bCs/>
          <w:i/>
          <w:iCs/>
          <w:color w:val="373737"/>
          <w:sz w:val="20"/>
          <w:szCs w:val="20"/>
          <w:lang w:eastAsia="tr-TR"/>
        </w:rPr>
        <w:t xml:space="preserve">değerlendirme ölçütleri ve puanlandırma kriterleri </w:t>
      </w:r>
      <w:r w:rsidRPr="00EC3F84">
        <w:rPr>
          <w:rFonts w:ascii="Times New Roman" w:eastAsia="Times New Roman" w:hAnsi="Times New Roman" w:cs="Times New Roman"/>
          <w:bCs/>
          <w:color w:val="373737"/>
          <w:sz w:val="20"/>
          <w:szCs w:val="20"/>
          <w:lang w:eastAsia="tr-TR"/>
        </w:rPr>
        <w:t>şunlardır:</w:t>
      </w:r>
    </w:p>
    <w:tbl>
      <w:tblPr>
        <w:tblW w:w="0" w:type="auto"/>
        <w:tblInd w:w="653" w:type="dxa"/>
        <w:tblLayout w:type="fixed"/>
        <w:tblCellMar>
          <w:left w:w="0" w:type="dxa"/>
          <w:right w:w="0" w:type="dxa"/>
        </w:tblCellMar>
        <w:tblLook w:val="0000" w:firstRow="0" w:lastRow="0" w:firstColumn="0" w:lastColumn="0" w:noHBand="0" w:noVBand="0"/>
      </w:tblPr>
      <w:tblGrid>
        <w:gridCol w:w="5514"/>
        <w:gridCol w:w="2141"/>
      </w:tblGrid>
      <w:tr w:rsidR="00485634" w:rsidRPr="00EC3F84" w:rsidTr="00EF2DC9">
        <w:trPr>
          <w:trHeight w:val="587"/>
        </w:trPr>
        <w:tc>
          <w:tcPr>
            <w:tcW w:w="5514" w:type="dxa"/>
            <w:tcBorders>
              <w:top w:val="single" w:sz="4" w:space="0" w:color="000000"/>
              <w:left w:val="single" w:sz="4" w:space="0" w:color="000000"/>
              <w:bottom w:val="single" w:sz="4" w:space="0" w:color="000000"/>
              <w:right w:val="single" w:sz="4" w:space="0" w:color="000000"/>
            </w:tcBorders>
          </w:tcPr>
          <w:p w:rsidR="00485634" w:rsidRPr="00EC3F84" w:rsidRDefault="00485634" w:rsidP="00EF2DC9">
            <w:pPr>
              <w:kinsoku w:val="0"/>
              <w:overflowPunct w:val="0"/>
              <w:autoSpaceDE w:val="0"/>
              <w:autoSpaceDN w:val="0"/>
              <w:adjustRightInd w:val="0"/>
              <w:spacing w:before="155" w:after="0" w:line="240" w:lineRule="auto"/>
              <w:ind w:left="2449" w:right="2440"/>
              <w:jc w:val="center"/>
              <w:rPr>
                <w:rFonts w:ascii="Times New Roman" w:hAnsi="Times New Roman" w:cs="Times New Roman"/>
                <w:b/>
                <w:bCs/>
                <w:sz w:val="24"/>
                <w:szCs w:val="24"/>
              </w:rPr>
            </w:pPr>
            <w:r w:rsidRPr="00EC3F84">
              <w:rPr>
                <w:rFonts w:ascii="Times New Roman" w:hAnsi="Times New Roman" w:cs="Times New Roman"/>
                <w:b/>
                <w:bCs/>
                <w:sz w:val="24"/>
                <w:szCs w:val="24"/>
              </w:rPr>
              <w:t>Ölçüt</w:t>
            </w:r>
          </w:p>
        </w:tc>
        <w:tc>
          <w:tcPr>
            <w:tcW w:w="2141" w:type="dxa"/>
            <w:tcBorders>
              <w:top w:val="single" w:sz="4" w:space="0" w:color="000000"/>
              <w:left w:val="single" w:sz="4" w:space="0" w:color="000000"/>
              <w:bottom w:val="single" w:sz="4" w:space="0" w:color="000000"/>
              <w:right w:val="single" w:sz="4" w:space="0" w:color="000000"/>
            </w:tcBorders>
          </w:tcPr>
          <w:p w:rsidR="00485634" w:rsidRPr="00EC3F84" w:rsidRDefault="00485634" w:rsidP="00EF2DC9">
            <w:pPr>
              <w:kinsoku w:val="0"/>
              <w:overflowPunct w:val="0"/>
              <w:autoSpaceDE w:val="0"/>
              <w:autoSpaceDN w:val="0"/>
              <w:adjustRightInd w:val="0"/>
              <w:spacing w:before="155" w:after="0" w:line="240" w:lineRule="auto"/>
              <w:ind w:left="319" w:right="311"/>
              <w:jc w:val="center"/>
              <w:rPr>
                <w:rFonts w:ascii="Times New Roman" w:hAnsi="Times New Roman" w:cs="Times New Roman"/>
                <w:b/>
                <w:bCs/>
                <w:sz w:val="24"/>
                <w:szCs w:val="24"/>
              </w:rPr>
            </w:pPr>
            <w:r w:rsidRPr="00EC3F84">
              <w:rPr>
                <w:rFonts w:ascii="Times New Roman" w:hAnsi="Times New Roman" w:cs="Times New Roman"/>
                <w:b/>
                <w:bCs/>
                <w:sz w:val="24"/>
                <w:szCs w:val="24"/>
              </w:rPr>
              <w:t>Ağırlıklı Puan</w:t>
            </w:r>
          </w:p>
        </w:tc>
      </w:tr>
      <w:tr w:rsidR="00485634" w:rsidRPr="00EC3F84" w:rsidTr="00485634">
        <w:trPr>
          <w:trHeight w:val="928"/>
        </w:trPr>
        <w:tc>
          <w:tcPr>
            <w:tcW w:w="5514" w:type="dxa"/>
            <w:tcBorders>
              <w:top w:val="single" w:sz="4" w:space="0" w:color="000000"/>
              <w:left w:val="single" w:sz="4" w:space="0" w:color="000000"/>
              <w:bottom w:val="single" w:sz="4" w:space="0" w:color="000000"/>
              <w:right w:val="single" w:sz="4" w:space="0" w:color="000000"/>
            </w:tcBorders>
          </w:tcPr>
          <w:p w:rsidR="00485634" w:rsidRPr="00EC3F84" w:rsidRDefault="00485634" w:rsidP="00EF2DC9">
            <w:pPr>
              <w:kinsoku w:val="0"/>
              <w:overflowPunct w:val="0"/>
              <w:autoSpaceDE w:val="0"/>
              <w:autoSpaceDN w:val="0"/>
              <w:adjustRightInd w:val="0"/>
              <w:spacing w:after="0" w:line="240" w:lineRule="auto"/>
              <w:rPr>
                <w:rFonts w:ascii="Times New Roman" w:hAnsi="Times New Roman" w:cs="Times New Roman"/>
                <w:sz w:val="24"/>
                <w:szCs w:val="24"/>
              </w:rPr>
            </w:pPr>
          </w:p>
          <w:p w:rsidR="00485634" w:rsidRPr="00EC3F84" w:rsidRDefault="00485634" w:rsidP="00EF2DC9">
            <w:pPr>
              <w:kinsoku w:val="0"/>
              <w:overflowPunct w:val="0"/>
              <w:autoSpaceDE w:val="0"/>
              <w:autoSpaceDN w:val="0"/>
              <w:adjustRightInd w:val="0"/>
              <w:spacing w:after="0" w:line="240" w:lineRule="auto"/>
              <w:ind w:left="108"/>
              <w:rPr>
                <w:rFonts w:ascii="Times New Roman" w:hAnsi="Times New Roman" w:cs="Times New Roman"/>
                <w:i/>
                <w:iCs/>
                <w:sz w:val="24"/>
                <w:szCs w:val="24"/>
              </w:rPr>
            </w:pPr>
            <w:r w:rsidRPr="00EC3F84">
              <w:rPr>
                <w:rFonts w:ascii="Times New Roman" w:hAnsi="Times New Roman" w:cs="Times New Roman"/>
                <w:i/>
                <w:iCs/>
                <w:sz w:val="24"/>
                <w:szCs w:val="24"/>
              </w:rPr>
              <w:t>Akademik başarı düzeyi</w:t>
            </w:r>
          </w:p>
        </w:tc>
        <w:tc>
          <w:tcPr>
            <w:tcW w:w="2141" w:type="dxa"/>
            <w:tcBorders>
              <w:top w:val="single" w:sz="4" w:space="0" w:color="000000"/>
              <w:left w:val="single" w:sz="4" w:space="0" w:color="000000"/>
              <w:bottom w:val="single" w:sz="4" w:space="0" w:color="000000"/>
              <w:right w:val="single" w:sz="4" w:space="0" w:color="000000"/>
            </w:tcBorders>
          </w:tcPr>
          <w:p w:rsidR="00485634" w:rsidRPr="00EC3F84" w:rsidRDefault="00485634" w:rsidP="00EF2DC9">
            <w:pPr>
              <w:kinsoku w:val="0"/>
              <w:overflowPunct w:val="0"/>
              <w:autoSpaceDE w:val="0"/>
              <w:autoSpaceDN w:val="0"/>
              <w:adjustRightInd w:val="0"/>
              <w:spacing w:after="0" w:line="240" w:lineRule="auto"/>
              <w:rPr>
                <w:rFonts w:ascii="Times New Roman" w:hAnsi="Times New Roman" w:cs="Times New Roman"/>
                <w:sz w:val="24"/>
                <w:szCs w:val="24"/>
              </w:rPr>
            </w:pPr>
          </w:p>
          <w:p w:rsidR="00485634" w:rsidRPr="00EC3F84" w:rsidRDefault="00485634" w:rsidP="00EF2DC9">
            <w:pPr>
              <w:kinsoku w:val="0"/>
              <w:overflowPunct w:val="0"/>
              <w:autoSpaceDE w:val="0"/>
              <w:autoSpaceDN w:val="0"/>
              <w:adjustRightInd w:val="0"/>
              <w:spacing w:after="0" w:line="240" w:lineRule="auto"/>
              <w:ind w:left="287" w:right="208" w:hanging="51"/>
              <w:rPr>
                <w:rFonts w:ascii="Times New Roman" w:hAnsi="Times New Roman" w:cs="Times New Roman"/>
                <w:i/>
                <w:iCs/>
                <w:sz w:val="24"/>
                <w:szCs w:val="24"/>
              </w:rPr>
            </w:pPr>
            <w:r w:rsidRPr="00EC3F84">
              <w:rPr>
                <w:rFonts w:ascii="Times New Roman" w:hAnsi="Times New Roman" w:cs="Times New Roman"/>
                <w:i/>
                <w:iCs/>
                <w:sz w:val="24"/>
                <w:szCs w:val="24"/>
              </w:rPr>
              <w:t>%50 (toplam 100 puan üzerinden)</w:t>
            </w:r>
          </w:p>
        </w:tc>
      </w:tr>
      <w:tr w:rsidR="00485634" w:rsidRPr="00EC3F84" w:rsidTr="00485634">
        <w:trPr>
          <w:trHeight w:val="999"/>
        </w:trPr>
        <w:tc>
          <w:tcPr>
            <w:tcW w:w="5514" w:type="dxa"/>
            <w:tcBorders>
              <w:top w:val="single" w:sz="4" w:space="0" w:color="000000"/>
              <w:left w:val="single" w:sz="4" w:space="0" w:color="000000"/>
              <w:bottom w:val="single" w:sz="4" w:space="0" w:color="000000"/>
              <w:right w:val="single" w:sz="4" w:space="0" w:color="000000"/>
            </w:tcBorders>
          </w:tcPr>
          <w:p w:rsidR="00485634" w:rsidRPr="00EC3F84" w:rsidRDefault="00485634" w:rsidP="00EF2DC9">
            <w:pPr>
              <w:kinsoku w:val="0"/>
              <w:overflowPunct w:val="0"/>
              <w:autoSpaceDE w:val="0"/>
              <w:autoSpaceDN w:val="0"/>
              <w:adjustRightInd w:val="0"/>
              <w:spacing w:after="0" w:line="240" w:lineRule="auto"/>
              <w:rPr>
                <w:rFonts w:ascii="Times New Roman" w:hAnsi="Times New Roman" w:cs="Times New Roman"/>
                <w:sz w:val="24"/>
                <w:szCs w:val="24"/>
              </w:rPr>
            </w:pPr>
          </w:p>
          <w:p w:rsidR="00485634" w:rsidRPr="00EC3F84" w:rsidRDefault="00485634" w:rsidP="00EF2DC9">
            <w:pPr>
              <w:kinsoku w:val="0"/>
              <w:overflowPunct w:val="0"/>
              <w:autoSpaceDE w:val="0"/>
              <w:autoSpaceDN w:val="0"/>
              <w:adjustRightInd w:val="0"/>
              <w:spacing w:after="0" w:line="240" w:lineRule="auto"/>
              <w:ind w:left="108"/>
              <w:rPr>
                <w:rFonts w:ascii="Times New Roman" w:hAnsi="Times New Roman" w:cs="Times New Roman"/>
                <w:i/>
                <w:iCs/>
                <w:sz w:val="24"/>
                <w:szCs w:val="24"/>
              </w:rPr>
            </w:pPr>
            <w:r w:rsidRPr="00EC3F84">
              <w:rPr>
                <w:rFonts w:ascii="Times New Roman" w:hAnsi="Times New Roman" w:cs="Times New Roman"/>
                <w:i/>
                <w:iCs/>
                <w:sz w:val="24"/>
                <w:szCs w:val="24"/>
              </w:rPr>
              <w:t>Dil seviyesi</w:t>
            </w:r>
          </w:p>
        </w:tc>
        <w:tc>
          <w:tcPr>
            <w:tcW w:w="2141" w:type="dxa"/>
            <w:tcBorders>
              <w:top w:val="single" w:sz="4" w:space="0" w:color="000000"/>
              <w:left w:val="single" w:sz="4" w:space="0" w:color="000000"/>
              <w:bottom w:val="single" w:sz="4" w:space="0" w:color="000000"/>
              <w:right w:val="single" w:sz="4" w:space="0" w:color="000000"/>
            </w:tcBorders>
          </w:tcPr>
          <w:p w:rsidR="00485634" w:rsidRPr="00EC3F84" w:rsidRDefault="00485634" w:rsidP="00EF2DC9">
            <w:pPr>
              <w:kinsoku w:val="0"/>
              <w:overflowPunct w:val="0"/>
              <w:autoSpaceDE w:val="0"/>
              <w:autoSpaceDN w:val="0"/>
              <w:adjustRightInd w:val="0"/>
              <w:spacing w:after="0" w:line="240" w:lineRule="auto"/>
              <w:rPr>
                <w:rFonts w:ascii="Times New Roman" w:hAnsi="Times New Roman" w:cs="Times New Roman"/>
                <w:sz w:val="24"/>
                <w:szCs w:val="24"/>
              </w:rPr>
            </w:pPr>
          </w:p>
          <w:p w:rsidR="00485634" w:rsidRPr="00EC3F84" w:rsidRDefault="00485634" w:rsidP="00485634">
            <w:pPr>
              <w:kinsoku w:val="0"/>
              <w:overflowPunct w:val="0"/>
              <w:autoSpaceDE w:val="0"/>
              <w:autoSpaceDN w:val="0"/>
              <w:adjustRightInd w:val="0"/>
              <w:spacing w:after="0" w:line="240" w:lineRule="auto"/>
              <w:ind w:left="236" w:right="208"/>
              <w:rPr>
                <w:rFonts w:ascii="Times New Roman" w:hAnsi="Times New Roman" w:cs="Times New Roman"/>
                <w:i/>
                <w:iCs/>
                <w:sz w:val="24"/>
                <w:szCs w:val="24"/>
              </w:rPr>
            </w:pPr>
            <w:r w:rsidRPr="00EC3F84">
              <w:rPr>
                <w:rFonts w:ascii="Times New Roman" w:hAnsi="Times New Roman" w:cs="Times New Roman"/>
                <w:i/>
                <w:iCs/>
                <w:sz w:val="24"/>
                <w:szCs w:val="24"/>
              </w:rPr>
              <w:t>%50 (toplam 100 puan üzerinden)</w:t>
            </w:r>
          </w:p>
        </w:tc>
      </w:tr>
      <w:tr w:rsidR="00485634" w:rsidRPr="00EC3F84" w:rsidTr="00EF2DC9">
        <w:trPr>
          <w:trHeight w:val="908"/>
        </w:trPr>
        <w:tc>
          <w:tcPr>
            <w:tcW w:w="5514" w:type="dxa"/>
            <w:tcBorders>
              <w:top w:val="single" w:sz="4" w:space="0" w:color="000000"/>
              <w:left w:val="single" w:sz="4" w:space="0" w:color="000000"/>
              <w:bottom w:val="single" w:sz="4" w:space="0" w:color="000000"/>
              <w:right w:val="single" w:sz="4" w:space="0" w:color="000000"/>
            </w:tcBorders>
          </w:tcPr>
          <w:p w:rsidR="00485634" w:rsidRPr="00EC3F84" w:rsidRDefault="00485634" w:rsidP="00EF2DC9">
            <w:pPr>
              <w:kinsoku w:val="0"/>
              <w:overflowPunct w:val="0"/>
              <w:autoSpaceDE w:val="0"/>
              <w:autoSpaceDN w:val="0"/>
              <w:adjustRightInd w:val="0"/>
              <w:spacing w:after="0" w:line="240" w:lineRule="auto"/>
              <w:rPr>
                <w:rFonts w:ascii="Times New Roman" w:hAnsi="Times New Roman" w:cs="Times New Roman"/>
                <w:sz w:val="24"/>
                <w:szCs w:val="24"/>
              </w:rPr>
            </w:pPr>
          </w:p>
          <w:p w:rsidR="00485634" w:rsidRPr="00EC3F84" w:rsidRDefault="00485634" w:rsidP="00EF2DC9">
            <w:pPr>
              <w:kinsoku w:val="0"/>
              <w:overflowPunct w:val="0"/>
              <w:autoSpaceDE w:val="0"/>
              <w:autoSpaceDN w:val="0"/>
              <w:adjustRightInd w:val="0"/>
              <w:spacing w:after="0" w:line="240" w:lineRule="auto"/>
              <w:ind w:left="108"/>
              <w:rPr>
                <w:rFonts w:ascii="Times New Roman" w:hAnsi="Times New Roman" w:cs="Times New Roman"/>
                <w:i/>
                <w:iCs/>
                <w:sz w:val="24"/>
                <w:szCs w:val="24"/>
              </w:rPr>
            </w:pPr>
            <w:r w:rsidRPr="00EC3F84">
              <w:rPr>
                <w:rFonts w:ascii="Times New Roman" w:hAnsi="Times New Roman" w:cs="Times New Roman"/>
                <w:i/>
                <w:iCs/>
                <w:sz w:val="24"/>
                <w:szCs w:val="24"/>
              </w:rPr>
              <w:t>Şehit ve gazi çocuklarına</w:t>
            </w:r>
          </w:p>
        </w:tc>
        <w:tc>
          <w:tcPr>
            <w:tcW w:w="2141" w:type="dxa"/>
            <w:tcBorders>
              <w:top w:val="single" w:sz="4" w:space="0" w:color="000000"/>
              <w:left w:val="single" w:sz="4" w:space="0" w:color="000000"/>
              <w:bottom w:val="single" w:sz="4" w:space="0" w:color="000000"/>
              <w:right w:val="single" w:sz="4" w:space="0" w:color="000000"/>
            </w:tcBorders>
          </w:tcPr>
          <w:p w:rsidR="00485634" w:rsidRPr="00EC3F84" w:rsidRDefault="00485634" w:rsidP="00EF2DC9">
            <w:pPr>
              <w:kinsoku w:val="0"/>
              <w:overflowPunct w:val="0"/>
              <w:autoSpaceDE w:val="0"/>
              <w:autoSpaceDN w:val="0"/>
              <w:adjustRightInd w:val="0"/>
              <w:spacing w:after="0" w:line="240" w:lineRule="auto"/>
              <w:rPr>
                <w:rFonts w:ascii="Times New Roman" w:hAnsi="Times New Roman" w:cs="Times New Roman"/>
                <w:sz w:val="24"/>
                <w:szCs w:val="24"/>
              </w:rPr>
            </w:pPr>
          </w:p>
          <w:p w:rsidR="00485634" w:rsidRPr="00EC3F84" w:rsidRDefault="00485634" w:rsidP="00EF2DC9">
            <w:pPr>
              <w:kinsoku w:val="0"/>
              <w:overflowPunct w:val="0"/>
              <w:autoSpaceDE w:val="0"/>
              <w:autoSpaceDN w:val="0"/>
              <w:adjustRightInd w:val="0"/>
              <w:spacing w:after="0" w:line="240" w:lineRule="auto"/>
              <w:ind w:left="319" w:right="309"/>
              <w:jc w:val="center"/>
              <w:rPr>
                <w:rFonts w:ascii="Times New Roman" w:hAnsi="Times New Roman" w:cs="Times New Roman"/>
                <w:i/>
                <w:iCs/>
                <w:position w:val="7"/>
                <w:sz w:val="16"/>
                <w:szCs w:val="16"/>
              </w:rPr>
            </w:pPr>
            <w:r w:rsidRPr="00EC3F84">
              <w:rPr>
                <w:rFonts w:ascii="Times New Roman" w:hAnsi="Times New Roman" w:cs="Times New Roman"/>
                <w:i/>
                <w:iCs/>
                <w:sz w:val="24"/>
                <w:szCs w:val="24"/>
              </w:rPr>
              <w:t>+15 puan</w:t>
            </w:r>
            <w:r w:rsidRPr="00EC3F84">
              <w:rPr>
                <w:rFonts w:ascii="Times New Roman" w:hAnsi="Times New Roman" w:cs="Times New Roman"/>
                <w:i/>
                <w:iCs/>
                <w:position w:val="7"/>
                <w:sz w:val="16"/>
                <w:szCs w:val="16"/>
              </w:rPr>
              <w:t>3</w:t>
            </w:r>
          </w:p>
        </w:tc>
      </w:tr>
      <w:tr w:rsidR="00485634" w:rsidRPr="00EC3F84" w:rsidTr="00EF2DC9">
        <w:trPr>
          <w:trHeight w:val="1184"/>
        </w:trPr>
        <w:tc>
          <w:tcPr>
            <w:tcW w:w="5514" w:type="dxa"/>
            <w:tcBorders>
              <w:top w:val="single" w:sz="4" w:space="0" w:color="000000"/>
              <w:left w:val="single" w:sz="4" w:space="0" w:color="000000"/>
              <w:bottom w:val="single" w:sz="4" w:space="0" w:color="000000"/>
              <w:right w:val="single" w:sz="4" w:space="0" w:color="000000"/>
            </w:tcBorders>
          </w:tcPr>
          <w:p w:rsidR="00485634" w:rsidRPr="00EC3F84" w:rsidRDefault="00485634" w:rsidP="00EF2DC9">
            <w:pPr>
              <w:kinsoku w:val="0"/>
              <w:overflowPunct w:val="0"/>
              <w:autoSpaceDE w:val="0"/>
              <w:autoSpaceDN w:val="0"/>
              <w:adjustRightInd w:val="0"/>
              <w:spacing w:after="0" w:line="240" w:lineRule="auto"/>
              <w:rPr>
                <w:rFonts w:ascii="Times New Roman" w:hAnsi="Times New Roman" w:cs="Times New Roman"/>
                <w:sz w:val="24"/>
                <w:szCs w:val="24"/>
              </w:rPr>
            </w:pPr>
          </w:p>
          <w:p w:rsidR="00485634" w:rsidRPr="00EC3F84" w:rsidRDefault="00485634" w:rsidP="00EF2DC9">
            <w:pPr>
              <w:kinsoku w:val="0"/>
              <w:overflowPunct w:val="0"/>
              <w:autoSpaceDE w:val="0"/>
              <w:autoSpaceDN w:val="0"/>
              <w:adjustRightInd w:val="0"/>
              <w:spacing w:after="0" w:line="240" w:lineRule="auto"/>
              <w:ind w:left="108"/>
              <w:rPr>
                <w:rFonts w:ascii="Times New Roman" w:hAnsi="Times New Roman" w:cs="Times New Roman"/>
                <w:i/>
                <w:iCs/>
                <w:sz w:val="24"/>
                <w:szCs w:val="24"/>
              </w:rPr>
            </w:pPr>
            <w:r w:rsidRPr="00EC3F84">
              <w:rPr>
                <w:rFonts w:ascii="Times New Roman" w:hAnsi="Times New Roman" w:cs="Times New Roman"/>
                <w:i/>
                <w:iCs/>
                <w:sz w:val="24"/>
                <w:szCs w:val="24"/>
              </w:rPr>
              <w:t>Engelli öğrencilere (engelliliğin belgelenmesi</w:t>
            </w:r>
          </w:p>
          <w:p w:rsidR="00485634" w:rsidRPr="00EC3F84" w:rsidRDefault="00485634" w:rsidP="00EF2DC9">
            <w:pPr>
              <w:kinsoku w:val="0"/>
              <w:overflowPunct w:val="0"/>
              <w:autoSpaceDE w:val="0"/>
              <w:autoSpaceDN w:val="0"/>
              <w:adjustRightInd w:val="0"/>
              <w:spacing w:after="0" w:line="240" w:lineRule="auto"/>
              <w:ind w:left="108"/>
              <w:rPr>
                <w:rFonts w:ascii="Times New Roman" w:hAnsi="Times New Roman" w:cs="Times New Roman"/>
                <w:i/>
                <w:iCs/>
                <w:sz w:val="24"/>
                <w:szCs w:val="24"/>
              </w:rPr>
            </w:pPr>
            <w:r w:rsidRPr="00EC3F84">
              <w:rPr>
                <w:rFonts w:ascii="Times New Roman" w:hAnsi="Times New Roman" w:cs="Times New Roman"/>
                <w:i/>
                <w:iCs/>
                <w:sz w:val="24"/>
                <w:szCs w:val="24"/>
              </w:rPr>
              <w:t>kaydıyla)</w:t>
            </w:r>
          </w:p>
        </w:tc>
        <w:tc>
          <w:tcPr>
            <w:tcW w:w="2141" w:type="dxa"/>
            <w:tcBorders>
              <w:top w:val="single" w:sz="4" w:space="0" w:color="000000"/>
              <w:left w:val="single" w:sz="4" w:space="0" w:color="000000"/>
              <w:bottom w:val="single" w:sz="4" w:space="0" w:color="000000"/>
              <w:right w:val="single" w:sz="4" w:space="0" w:color="000000"/>
            </w:tcBorders>
          </w:tcPr>
          <w:p w:rsidR="00485634" w:rsidRPr="00EC3F84" w:rsidRDefault="00485634" w:rsidP="00EF2DC9">
            <w:pPr>
              <w:kinsoku w:val="0"/>
              <w:overflowPunct w:val="0"/>
              <w:autoSpaceDE w:val="0"/>
              <w:autoSpaceDN w:val="0"/>
              <w:adjustRightInd w:val="0"/>
              <w:spacing w:after="0" w:line="240" w:lineRule="auto"/>
              <w:rPr>
                <w:rFonts w:ascii="Times New Roman" w:hAnsi="Times New Roman" w:cs="Times New Roman"/>
                <w:sz w:val="24"/>
                <w:szCs w:val="24"/>
              </w:rPr>
            </w:pPr>
          </w:p>
          <w:p w:rsidR="00485634" w:rsidRPr="00EC3F84" w:rsidRDefault="00485634" w:rsidP="00EF2DC9">
            <w:pPr>
              <w:kinsoku w:val="0"/>
              <w:overflowPunct w:val="0"/>
              <w:autoSpaceDE w:val="0"/>
              <w:autoSpaceDN w:val="0"/>
              <w:adjustRightInd w:val="0"/>
              <w:spacing w:after="0" w:line="240" w:lineRule="auto"/>
              <w:ind w:left="319" w:right="310"/>
              <w:jc w:val="center"/>
              <w:rPr>
                <w:rFonts w:ascii="Times New Roman" w:hAnsi="Times New Roman" w:cs="Times New Roman"/>
                <w:i/>
                <w:iCs/>
                <w:sz w:val="24"/>
                <w:szCs w:val="24"/>
              </w:rPr>
            </w:pPr>
            <w:r w:rsidRPr="00EC3F84">
              <w:rPr>
                <w:rFonts w:ascii="Times New Roman" w:hAnsi="Times New Roman" w:cs="Times New Roman"/>
                <w:i/>
                <w:iCs/>
                <w:sz w:val="24"/>
                <w:szCs w:val="24"/>
              </w:rPr>
              <w:t>+10 puan</w:t>
            </w:r>
          </w:p>
        </w:tc>
      </w:tr>
      <w:tr w:rsidR="00485634" w:rsidRPr="00EC3F84" w:rsidTr="00EF2DC9">
        <w:trPr>
          <w:trHeight w:val="1379"/>
        </w:trPr>
        <w:tc>
          <w:tcPr>
            <w:tcW w:w="5514" w:type="dxa"/>
            <w:tcBorders>
              <w:top w:val="single" w:sz="4" w:space="0" w:color="000000"/>
              <w:left w:val="single" w:sz="4" w:space="0" w:color="000000"/>
              <w:bottom w:val="single" w:sz="4" w:space="0" w:color="000000"/>
              <w:right w:val="single" w:sz="4" w:space="0" w:color="000000"/>
            </w:tcBorders>
          </w:tcPr>
          <w:p w:rsidR="00485634" w:rsidRPr="00EC3F84" w:rsidRDefault="00485634" w:rsidP="00EF2DC9">
            <w:pPr>
              <w:kinsoku w:val="0"/>
              <w:overflowPunct w:val="0"/>
              <w:autoSpaceDE w:val="0"/>
              <w:autoSpaceDN w:val="0"/>
              <w:adjustRightInd w:val="0"/>
              <w:spacing w:after="0" w:line="240" w:lineRule="auto"/>
              <w:rPr>
                <w:rFonts w:ascii="Times New Roman" w:hAnsi="Times New Roman" w:cs="Times New Roman"/>
                <w:sz w:val="24"/>
                <w:szCs w:val="24"/>
              </w:rPr>
            </w:pPr>
          </w:p>
          <w:p w:rsidR="00485634" w:rsidRPr="00EC3F84" w:rsidRDefault="00485634" w:rsidP="00EF2DC9">
            <w:pPr>
              <w:kinsoku w:val="0"/>
              <w:overflowPunct w:val="0"/>
              <w:autoSpaceDE w:val="0"/>
              <w:autoSpaceDN w:val="0"/>
              <w:adjustRightInd w:val="0"/>
              <w:spacing w:after="0" w:line="240" w:lineRule="auto"/>
              <w:ind w:left="108" w:right="97"/>
              <w:jc w:val="both"/>
              <w:rPr>
                <w:rFonts w:ascii="Times New Roman" w:hAnsi="Times New Roman" w:cs="Times New Roman"/>
                <w:i/>
                <w:iCs/>
                <w:sz w:val="24"/>
                <w:szCs w:val="24"/>
              </w:rPr>
            </w:pPr>
            <w:r w:rsidRPr="00EC3F84">
              <w:rPr>
                <w:rFonts w:ascii="Times New Roman" w:hAnsi="Times New Roman" w:cs="Times New Roman"/>
                <w:i/>
                <w:iCs/>
                <w:sz w:val="24"/>
                <w:szCs w:val="24"/>
              </w:rPr>
              <w:t>2828 Sayılı Sosyal Hizmetler Kanunu Kapsamında haklarında korunma, bakım veya barınma kararı alınmış öğrencilere</w:t>
            </w:r>
          </w:p>
        </w:tc>
        <w:tc>
          <w:tcPr>
            <w:tcW w:w="2141" w:type="dxa"/>
            <w:tcBorders>
              <w:top w:val="single" w:sz="4" w:space="0" w:color="000000"/>
              <w:left w:val="single" w:sz="4" w:space="0" w:color="000000"/>
              <w:bottom w:val="single" w:sz="4" w:space="0" w:color="000000"/>
              <w:right w:val="single" w:sz="4" w:space="0" w:color="000000"/>
            </w:tcBorders>
          </w:tcPr>
          <w:p w:rsidR="00485634" w:rsidRPr="00EC3F84" w:rsidRDefault="00485634" w:rsidP="00EF2DC9">
            <w:pPr>
              <w:kinsoku w:val="0"/>
              <w:overflowPunct w:val="0"/>
              <w:autoSpaceDE w:val="0"/>
              <w:autoSpaceDN w:val="0"/>
              <w:adjustRightInd w:val="0"/>
              <w:spacing w:after="0" w:line="240" w:lineRule="auto"/>
              <w:rPr>
                <w:rFonts w:ascii="Times New Roman" w:hAnsi="Times New Roman" w:cs="Times New Roman"/>
                <w:sz w:val="26"/>
                <w:szCs w:val="26"/>
              </w:rPr>
            </w:pPr>
          </w:p>
          <w:p w:rsidR="00485634" w:rsidRPr="00EC3F84" w:rsidRDefault="00485634" w:rsidP="00EF2DC9">
            <w:pPr>
              <w:kinsoku w:val="0"/>
              <w:overflowPunct w:val="0"/>
              <w:autoSpaceDE w:val="0"/>
              <w:autoSpaceDN w:val="0"/>
              <w:adjustRightInd w:val="0"/>
              <w:spacing w:after="0" w:line="240" w:lineRule="auto"/>
              <w:ind w:left="319" w:right="309"/>
              <w:jc w:val="center"/>
              <w:rPr>
                <w:rFonts w:ascii="Times New Roman" w:hAnsi="Times New Roman" w:cs="Times New Roman"/>
                <w:i/>
                <w:iCs/>
                <w:position w:val="7"/>
                <w:sz w:val="16"/>
                <w:szCs w:val="16"/>
              </w:rPr>
            </w:pPr>
            <w:r w:rsidRPr="00EC3F84">
              <w:rPr>
                <w:rFonts w:ascii="Times New Roman" w:hAnsi="Times New Roman" w:cs="Times New Roman"/>
                <w:i/>
                <w:iCs/>
                <w:sz w:val="24"/>
                <w:szCs w:val="24"/>
              </w:rPr>
              <w:t>+10 puan</w:t>
            </w:r>
            <w:r w:rsidRPr="00EC3F84">
              <w:rPr>
                <w:rFonts w:ascii="Times New Roman" w:hAnsi="Times New Roman" w:cs="Times New Roman"/>
                <w:i/>
                <w:iCs/>
                <w:position w:val="7"/>
                <w:sz w:val="16"/>
                <w:szCs w:val="16"/>
              </w:rPr>
              <w:t>4</w:t>
            </w:r>
          </w:p>
        </w:tc>
      </w:tr>
      <w:tr w:rsidR="00485634" w:rsidRPr="00EC3F84" w:rsidTr="00EF2DC9">
        <w:trPr>
          <w:trHeight w:val="827"/>
        </w:trPr>
        <w:tc>
          <w:tcPr>
            <w:tcW w:w="5514" w:type="dxa"/>
            <w:tcBorders>
              <w:top w:val="single" w:sz="4" w:space="0" w:color="000000"/>
              <w:left w:val="single" w:sz="4" w:space="0" w:color="000000"/>
              <w:bottom w:val="single" w:sz="4" w:space="0" w:color="000000"/>
              <w:right w:val="single" w:sz="4" w:space="0" w:color="000000"/>
            </w:tcBorders>
          </w:tcPr>
          <w:p w:rsidR="00485634" w:rsidRPr="00EC3F84" w:rsidRDefault="00485634" w:rsidP="00EF2DC9">
            <w:pPr>
              <w:kinsoku w:val="0"/>
              <w:overflowPunct w:val="0"/>
              <w:autoSpaceDE w:val="0"/>
              <w:autoSpaceDN w:val="0"/>
              <w:adjustRightInd w:val="0"/>
              <w:spacing w:after="0" w:line="240" w:lineRule="auto"/>
              <w:rPr>
                <w:rFonts w:ascii="Times New Roman" w:hAnsi="Times New Roman" w:cs="Times New Roman"/>
                <w:sz w:val="24"/>
                <w:szCs w:val="24"/>
              </w:rPr>
            </w:pPr>
          </w:p>
          <w:p w:rsidR="00485634" w:rsidRPr="00EC3F84" w:rsidRDefault="00485634" w:rsidP="00EF2DC9">
            <w:pPr>
              <w:kinsoku w:val="0"/>
              <w:overflowPunct w:val="0"/>
              <w:autoSpaceDE w:val="0"/>
              <w:autoSpaceDN w:val="0"/>
              <w:adjustRightInd w:val="0"/>
              <w:spacing w:after="0" w:line="240" w:lineRule="auto"/>
              <w:ind w:left="108"/>
              <w:rPr>
                <w:rFonts w:ascii="Times New Roman" w:hAnsi="Times New Roman" w:cs="Times New Roman"/>
                <w:i/>
                <w:iCs/>
                <w:sz w:val="24"/>
                <w:szCs w:val="24"/>
              </w:rPr>
            </w:pPr>
            <w:r w:rsidRPr="00EC3F84">
              <w:rPr>
                <w:rFonts w:ascii="Times New Roman" w:hAnsi="Times New Roman" w:cs="Times New Roman"/>
                <w:i/>
                <w:iCs/>
                <w:sz w:val="24"/>
                <w:szCs w:val="24"/>
              </w:rPr>
              <w:t>Daha önce yararlanma (hibeli veya hibesiz)</w:t>
            </w:r>
          </w:p>
        </w:tc>
        <w:tc>
          <w:tcPr>
            <w:tcW w:w="2141" w:type="dxa"/>
            <w:tcBorders>
              <w:top w:val="single" w:sz="4" w:space="0" w:color="000000"/>
              <w:left w:val="single" w:sz="4" w:space="0" w:color="000000"/>
              <w:bottom w:val="single" w:sz="4" w:space="0" w:color="000000"/>
              <w:right w:val="single" w:sz="4" w:space="0" w:color="000000"/>
            </w:tcBorders>
          </w:tcPr>
          <w:p w:rsidR="00485634" w:rsidRPr="00EC3F84" w:rsidRDefault="00485634" w:rsidP="00EF2DC9">
            <w:pPr>
              <w:kinsoku w:val="0"/>
              <w:overflowPunct w:val="0"/>
              <w:autoSpaceDE w:val="0"/>
              <w:autoSpaceDN w:val="0"/>
              <w:adjustRightInd w:val="0"/>
              <w:spacing w:after="0" w:line="240" w:lineRule="auto"/>
              <w:rPr>
                <w:rFonts w:ascii="Times New Roman" w:hAnsi="Times New Roman" w:cs="Times New Roman"/>
                <w:sz w:val="24"/>
                <w:szCs w:val="24"/>
              </w:rPr>
            </w:pPr>
          </w:p>
          <w:p w:rsidR="00485634" w:rsidRPr="00EC3F84" w:rsidRDefault="00485634" w:rsidP="00EF2DC9">
            <w:pPr>
              <w:kinsoku w:val="0"/>
              <w:overflowPunct w:val="0"/>
              <w:autoSpaceDE w:val="0"/>
              <w:autoSpaceDN w:val="0"/>
              <w:adjustRightInd w:val="0"/>
              <w:spacing w:after="0" w:line="240" w:lineRule="auto"/>
              <w:ind w:left="319" w:right="310"/>
              <w:jc w:val="center"/>
              <w:rPr>
                <w:rFonts w:ascii="Times New Roman" w:hAnsi="Times New Roman" w:cs="Times New Roman"/>
                <w:i/>
                <w:iCs/>
                <w:sz w:val="24"/>
                <w:szCs w:val="24"/>
              </w:rPr>
            </w:pPr>
            <w:r w:rsidRPr="00EC3F84">
              <w:rPr>
                <w:rFonts w:ascii="Times New Roman" w:hAnsi="Times New Roman" w:cs="Times New Roman"/>
                <w:i/>
                <w:iCs/>
                <w:sz w:val="24"/>
                <w:szCs w:val="24"/>
              </w:rPr>
              <w:t>-10 puan</w:t>
            </w:r>
          </w:p>
        </w:tc>
      </w:tr>
      <w:tr w:rsidR="00485634" w:rsidRPr="00EC3F84" w:rsidTr="00485634">
        <w:trPr>
          <w:trHeight w:val="827"/>
        </w:trPr>
        <w:tc>
          <w:tcPr>
            <w:tcW w:w="5514" w:type="dxa"/>
            <w:tcBorders>
              <w:top w:val="single" w:sz="4" w:space="0" w:color="000000"/>
              <w:left w:val="single" w:sz="4" w:space="0" w:color="000000"/>
              <w:bottom w:val="single" w:sz="4" w:space="0" w:color="000000"/>
              <w:right w:val="single" w:sz="4" w:space="0" w:color="000000"/>
            </w:tcBorders>
          </w:tcPr>
          <w:p w:rsidR="00485634" w:rsidRPr="00485634" w:rsidRDefault="00485634" w:rsidP="00485634">
            <w:pPr>
              <w:kinsoku w:val="0"/>
              <w:overflowPunct w:val="0"/>
              <w:autoSpaceDE w:val="0"/>
              <w:autoSpaceDN w:val="0"/>
              <w:adjustRightInd w:val="0"/>
              <w:spacing w:after="0" w:line="240" w:lineRule="auto"/>
              <w:ind w:left="108"/>
              <w:rPr>
                <w:rFonts w:ascii="Times New Roman" w:hAnsi="Times New Roman" w:cs="Times New Roman"/>
                <w:i/>
                <w:iCs/>
                <w:sz w:val="24"/>
                <w:szCs w:val="24"/>
              </w:rPr>
            </w:pPr>
          </w:p>
          <w:p w:rsidR="00485634" w:rsidRPr="00485634" w:rsidRDefault="00485634" w:rsidP="00485634">
            <w:pPr>
              <w:kinsoku w:val="0"/>
              <w:overflowPunct w:val="0"/>
              <w:autoSpaceDE w:val="0"/>
              <w:autoSpaceDN w:val="0"/>
              <w:adjustRightInd w:val="0"/>
              <w:spacing w:after="0" w:line="240" w:lineRule="auto"/>
              <w:ind w:left="108"/>
              <w:rPr>
                <w:rFonts w:ascii="Times New Roman" w:hAnsi="Times New Roman" w:cs="Times New Roman"/>
                <w:i/>
                <w:iCs/>
                <w:sz w:val="24"/>
                <w:szCs w:val="24"/>
              </w:rPr>
            </w:pPr>
            <w:r w:rsidRPr="00485634">
              <w:rPr>
                <w:rFonts w:ascii="Times New Roman" w:hAnsi="Times New Roman" w:cs="Times New Roman"/>
                <w:i/>
                <w:iCs/>
                <w:sz w:val="24"/>
                <w:szCs w:val="24"/>
              </w:rPr>
              <w:t>Vatandaşı olunan ülkede hareketliliğe katılma</w:t>
            </w:r>
          </w:p>
        </w:tc>
        <w:tc>
          <w:tcPr>
            <w:tcW w:w="2141" w:type="dxa"/>
            <w:tcBorders>
              <w:top w:val="single" w:sz="4" w:space="0" w:color="000000"/>
              <w:left w:val="single" w:sz="4" w:space="0" w:color="000000"/>
              <w:bottom w:val="single" w:sz="4" w:space="0" w:color="000000"/>
              <w:right w:val="single" w:sz="4" w:space="0" w:color="000000"/>
            </w:tcBorders>
          </w:tcPr>
          <w:p w:rsidR="00485634" w:rsidRPr="00EC3F84" w:rsidRDefault="00485634" w:rsidP="00485634">
            <w:pPr>
              <w:kinsoku w:val="0"/>
              <w:overflowPunct w:val="0"/>
              <w:autoSpaceDE w:val="0"/>
              <w:autoSpaceDN w:val="0"/>
              <w:adjustRightInd w:val="0"/>
              <w:spacing w:after="0" w:line="240" w:lineRule="auto"/>
              <w:jc w:val="center"/>
              <w:rPr>
                <w:rFonts w:ascii="Times New Roman" w:hAnsi="Times New Roman" w:cs="Times New Roman"/>
                <w:sz w:val="24"/>
                <w:szCs w:val="24"/>
              </w:rPr>
            </w:pPr>
          </w:p>
          <w:p w:rsidR="00485634" w:rsidRPr="00485634" w:rsidRDefault="00485634" w:rsidP="00485634">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485634">
              <w:rPr>
                <w:rFonts w:ascii="Times New Roman" w:hAnsi="Times New Roman" w:cs="Times New Roman"/>
                <w:sz w:val="24"/>
                <w:szCs w:val="24"/>
              </w:rPr>
              <w:t>-10 puan</w:t>
            </w:r>
          </w:p>
        </w:tc>
      </w:tr>
      <w:tr w:rsidR="00485634" w:rsidRPr="00EC3F84" w:rsidTr="00485634">
        <w:trPr>
          <w:trHeight w:val="827"/>
        </w:trPr>
        <w:tc>
          <w:tcPr>
            <w:tcW w:w="5514" w:type="dxa"/>
            <w:tcBorders>
              <w:top w:val="single" w:sz="4" w:space="0" w:color="000000"/>
              <w:left w:val="single" w:sz="4" w:space="0" w:color="000000"/>
              <w:bottom w:val="single" w:sz="4" w:space="0" w:color="000000"/>
              <w:right w:val="single" w:sz="4" w:space="0" w:color="000000"/>
            </w:tcBorders>
          </w:tcPr>
          <w:p w:rsidR="00485634" w:rsidRPr="00485634" w:rsidRDefault="00485634" w:rsidP="00485634">
            <w:pPr>
              <w:kinsoku w:val="0"/>
              <w:overflowPunct w:val="0"/>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 </w:t>
            </w:r>
            <w:r w:rsidRPr="00485634">
              <w:rPr>
                <w:rFonts w:ascii="Times New Roman" w:hAnsi="Times New Roman" w:cs="Times New Roman"/>
                <w:i/>
                <w:iCs/>
                <w:sz w:val="24"/>
                <w:szCs w:val="24"/>
              </w:rPr>
              <w:t xml:space="preserve">Hareketliliğe seçildiği halde süresinde feragat </w:t>
            </w:r>
            <w:r>
              <w:rPr>
                <w:rFonts w:ascii="Times New Roman" w:hAnsi="Times New Roman" w:cs="Times New Roman"/>
                <w:i/>
                <w:iCs/>
                <w:sz w:val="24"/>
                <w:szCs w:val="24"/>
              </w:rPr>
              <w:t xml:space="preserve"> </w:t>
            </w:r>
            <w:r w:rsidRPr="00485634">
              <w:rPr>
                <w:rFonts w:ascii="Times New Roman" w:hAnsi="Times New Roman" w:cs="Times New Roman"/>
                <w:i/>
                <w:iCs/>
                <w:sz w:val="24"/>
                <w:szCs w:val="24"/>
              </w:rPr>
              <w:t>bildiriminde bulunmaksızın hareketliliğe katılmama</w:t>
            </w:r>
          </w:p>
        </w:tc>
        <w:tc>
          <w:tcPr>
            <w:tcW w:w="2141" w:type="dxa"/>
            <w:tcBorders>
              <w:top w:val="single" w:sz="4" w:space="0" w:color="000000"/>
              <w:left w:val="single" w:sz="4" w:space="0" w:color="000000"/>
              <w:bottom w:val="single" w:sz="4" w:space="0" w:color="000000"/>
              <w:right w:val="single" w:sz="4" w:space="0" w:color="000000"/>
            </w:tcBorders>
          </w:tcPr>
          <w:p w:rsidR="00485634" w:rsidRPr="00485634" w:rsidRDefault="00485634" w:rsidP="00485634">
            <w:pPr>
              <w:kinsoku w:val="0"/>
              <w:overflowPunct w:val="0"/>
              <w:autoSpaceDE w:val="0"/>
              <w:autoSpaceDN w:val="0"/>
              <w:adjustRightInd w:val="0"/>
              <w:spacing w:after="0" w:line="240" w:lineRule="auto"/>
              <w:jc w:val="center"/>
              <w:rPr>
                <w:rFonts w:ascii="Times New Roman" w:hAnsi="Times New Roman" w:cs="Times New Roman"/>
                <w:sz w:val="24"/>
                <w:szCs w:val="24"/>
              </w:rPr>
            </w:pPr>
          </w:p>
          <w:p w:rsidR="00485634" w:rsidRPr="00485634" w:rsidRDefault="00485634" w:rsidP="00485634">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485634">
              <w:rPr>
                <w:rFonts w:ascii="Times New Roman" w:hAnsi="Times New Roman" w:cs="Times New Roman"/>
                <w:sz w:val="24"/>
                <w:szCs w:val="24"/>
              </w:rPr>
              <w:t>-10 puan</w:t>
            </w:r>
          </w:p>
        </w:tc>
      </w:tr>
      <w:tr w:rsidR="00485634" w:rsidRPr="00EC3F84" w:rsidTr="00485634">
        <w:trPr>
          <w:trHeight w:val="827"/>
        </w:trPr>
        <w:tc>
          <w:tcPr>
            <w:tcW w:w="5514" w:type="dxa"/>
            <w:tcBorders>
              <w:top w:val="single" w:sz="4" w:space="0" w:color="000000"/>
              <w:left w:val="single" w:sz="4" w:space="0" w:color="000000"/>
              <w:bottom w:val="single" w:sz="4" w:space="0" w:color="000000"/>
              <w:right w:val="single" w:sz="4" w:space="0" w:color="000000"/>
            </w:tcBorders>
          </w:tcPr>
          <w:p w:rsidR="00485634" w:rsidRPr="00485634" w:rsidRDefault="00485634" w:rsidP="00485634">
            <w:pPr>
              <w:kinsoku w:val="0"/>
              <w:overflowPunct w:val="0"/>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  </w:t>
            </w:r>
            <w:r w:rsidRPr="00485634">
              <w:rPr>
                <w:rFonts w:ascii="Times New Roman" w:hAnsi="Times New Roman" w:cs="Times New Roman"/>
                <w:i/>
                <w:iCs/>
                <w:sz w:val="24"/>
                <w:szCs w:val="24"/>
              </w:rPr>
              <w:t xml:space="preserve">İki hareketlilik türüne birden aynı anda başvurma (öğrencinin tercih ettiği hareketlilik türüne azaltma </w:t>
            </w:r>
            <w:r>
              <w:rPr>
                <w:rFonts w:ascii="Times New Roman" w:hAnsi="Times New Roman" w:cs="Times New Roman"/>
                <w:i/>
                <w:iCs/>
                <w:sz w:val="24"/>
                <w:szCs w:val="24"/>
              </w:rPr>
              <w:t xml:space="preserve">   </w:t>
            </w:r>
            <w:r w:rsidRPr="00485634">
              <w:rPr>
                <w:rFonts w:ascii="Times New Roman" w:hAnsi="Times New Roman" w:cs="Times New Roman"/>
                <w:i/>
                <w:iCs/>
                <w:sz w:val="24"/>
                <w:szCs w:val="24"/>
              </w:rPr>
              <w:t>uygulanır)</w:t>
            </w:r>
          </w:p>
        </w:tc>
        <w:tc>
          <w:tcPr>
            <w:tcW w:w="2141" w:type="dxa"/>
            <w:tcBorders>
              <w:top w:val="single" w:sz="4" w:space="0" w:color="000000"/>
              <w:left w:val="single" w:sz="4" w:space="0" w:color="000000"/>
              <w:bottom w:val="single" w:sz="4" w:space="0" w:color="000000"/>
              <w:right w:val="single" w:sz="4" w:space="0" w:color="000000"/>
            </w:tcBorders>
          </w:tcPr>
          <w:p w:rsidR="00485634" w:rsidRPr="00485634" w:rsidRDefault="00485634" w:rsidP="00485634">
            <w:pPr>
              <w:kinsoku w:val="0"/>
              <w:overflowPunct w:val="0"/>
              <w:autoSpaceDE w:val="0"/>
              <w:autoSpaceDN w:val="0"/>
              <w:adjustRightInd w:val="0"/>
              <w:spacing w:after="0" w:line="240" w:lineRule="auto"/>
              <w:jc w:val="center"/>
              <w:rPr>
                <w:rFonts w:ascii="Times New Roman" w:hAnsi="Times New Roman" w:cs="Times New Roman"/>
                <w:sz w:val="24"/>
                <w:szCs w:val="24"/>
              </w:rPr>
            </w:pPr>
          </w:p>
          <w:p w:rsidR="00485634" w:rsidRPr="00485634" w:rsidRDefault="00485634" w:rsidP="00485634">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485634">
              <w:rPr>
                <w:rFonts w:ascii="Times New Roman" w:hAnsi="Times New Roman" w:cs="Times New Roman"/>
                <w:sz w:val="24"/>
                <w:szCs w:val="24"/>
              </w:rPr>
              <w:t>-10 puan</w:t>
            </w:r>
          </w:p>
        </w:tc>
      </w:tr>
      <w:tr w:rsidR="00485634" w:rsidRPr="00EC3F84" w:rsidTr="00485634">
        <w:trPr>
          <w:trHeight w:val="1134"/>
        </w:trPr>
        <w:tc>
          <w:tcPr>
            <w:tcW w:w="5514" w:type="dxa"/>
            <w:tcBorders>
              <w:top w:val="single" w:sz="4" w:space="0" w:color="000000"/>
              <w:left w:val="single" w:sz="4" w:space="0" w:color="000000"/>
              <w:bottom w:val="single" w:sz="4" w:space="0" w:color="000000"/>
              <w:right w:val="single" w:sz="4" w:space="0" w:color="000000"/>
            </w:tcBorders>
          </w:tcPr>
          <w:p w:rsidR="00485634" w:rsidRPr="00485634" w:rsidRDefault="00485634" w:rsidP="00485634">
            <w:pPr>
              <w:kinsoku w:val="0"/>
              <w:overflowPunct w:val="0"/>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 </w:t>
            </w:r>
            <w:r w:rsidRPr="00485634">
              <w:rPr>
                <w:rFonts w:ascii="Times New Roman" w:hAnsi="Times New Roman" w:cs="Times New Roman"/>
                <w:i/>
                <w:iCs/>
                <w:sz w:val="24"/>
                <w:szCs w:val="24"/>
              </w:rPr>
              <w:t>Hareketliliğe seçilen öğrenciler için: SUBÜ tarafından hareketlilikle ilgili olarak düzenlenen toplantılara/eğitimlere mazeretsiz katılmama (öğrencinin Erasmus’a tekrar başvurması halinde uygulanır)</w:t>
            </w:r>
          </w:p>
        </w:tc>
        <w:tc>
          <w:tcPr>
            <w:tcW w:w="2141" w:type="dxa"/>
            <w:tcBorders>
              <w:top w:val="single" w:sz="4" w:space="0" w:color="000000"/>
              <w:left w:val="single" w:sz="4" w:space="0" w:color="000000"/>
              <w:bottom w:val="single" w:sz="4" w:space="0" w:color="000000"/>
              <w:right w:val="single" w:sz="4" w:space="0" w:color="000000"/>
            </w:tcBorders>
          </w:tcPr>
          <w:p w:rsidR="00485634" w:rsidRPr="00485634" w:rsidRDefault="00485634" w:rsidP="00485634">
            <w:pPr>
              <w:kinsoku w:val="0"/>
              <w:overflowPunct w:val="0"/>
              <w:autoSpaceDE w:val="0"/>
              <w:autoSpaceDN w:val="0"/>
              <w:adjustRightInd w:val="0"/>
              <w:spacing w:after="0" w:line="240" w:lineRule="auto"/>
              <w:jc w:val="center"/>
              <w:rPr>
                <w:rFonts w:ascii="Times New Roman" w:hAnsi="Times New Roman" w:cs="Times New Roman"/>
                <w:sz w:val="24"/>
                <w:szCs w:val="24"/>
              </w:rPr>
            </w:pPr>
          </w:p>
          <w:p w:rsidR="00485634" w:rsidRPr="00485634" w:rsidRDefault="00485634" w:rsidP="00485634">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485634">
              <w:rPr>
                <w:rFonts w:ascii="Times New Roman" w:hAnsi="Times New Roman" w:cs="Times New Roman"/>
                <w:sz w:val="24"/>
                <w:szCs w:val="24"/>
              </w:rPr>
              <w:t>-5 puan</w:t>
            </w:r>
          </w:p>
        </w:tc>
      </w:tr>
      <w:tr w:rsidR="00485634" w:rsidRPr="00EC3F84" w:rsidTr="00485634">
        <w:trPr>
          <w:trHeight w:val="70"/>
        </w:trPr>
        <w:tc>
          <w:tcPr>
            <w:tcW w:w="5514" w:type="dxa"/>
            <w:tcBorders>
              <w:top w:val="single" w:sz="4" w:space="0" w:color="000000"/>
              <w:left w:val="single" w:sz="4" w:space="0" w:color="000000"/>
              <w:bottom w:val="single" w:sz="4" w:space="0" w:color="000000"/>
              <w:right w:val="single" w:sz="4" w:space="0" w:color="000000"/>
            </w:tcBorders>
          </w:tcPr>
          <w:p w:rsidR="00485634" w:rsidRPr="00EC3F84" w:rsidRDefault="00485634" w:rsidP="00EF2DC9">
            <w:pPr>
              <w:kinsoku w:val="0"/>
              <w:overflowPunct w:val="0"/>
              <w:autoSpaceDE w:val="0"/>
              <w:autoSpaceDN w:val="0"/>
              <w:adjustRightInd w:val="0"/>
              <w:spacing w:after="0" w:line="240" w:lineRule="auto"/>
              <w:rPr>
                <w:rFonts w:ascii="Times New Roman" w:hAnsi="Times New Roman" w:cs="Times New Roman"/>
                <w:sz w:val="24"/>
                <w:szCs w:val="24"/>
              </w:rPr>
            </w:pPr>
          </w:p>
          <w:p w:rsidR="00485634" w:rsidRPr="00485634" w:rsidRDefault="00485634" w:rsidP="00485634">
            <w:pPr>
              <w:kinsoku w:val="0"/>
              <w:overflowPunct w:val="0"/>
              <w:autoSpaceDE w:val="0"/>
              <w:autoSpaceDN w:val="0"/>
              <w:adjustRightInd w:val="0"/>
              <w:spacing w:after="0" w:line="240" w:lineRule="auto"/>
              <w:ind w:left="108"/>
              <w:rPr>
                <w:rFonts w:ascii="Times New Roman" w:hAnsi="Times New Roman" w:cs="Times New Roman"/>
                <w:sz w:val="24"/>
                <w:szCs w:val="24"/>
              </w:rPr>
            </w:pPr>
            <w:r w:rsidRPr="00485634">
              <w:rPr>
                <w:rFonts w:ascii="Times New Roman" w:hAnsi="Times New Roman" w:cs="Times New Roman"/>
                <w:sz w:val="24"/>
                <w:szCs w:val="24"/>
              </w:rPr>
              <w:t xml:space="preserve">Dil sınavına gireceğini beyan edip mazeretsiz girmeme ( öğrencinin </w:t>
            </w:r>
            <w:r w:rsidRPr="00485634">
              <w:rPr>
                <w:rFonts w:ascii="Times New Roman" w:hAnsi="Times New Roman" w:cs="Times New Roman"/>
                <w:i/>
                <w:iCs/>
                <w:sz w:val="24"/>
                <w:szCs w:val="24"/>
              </w:rPr>
              <w:t>Erasmus’a</w:t>
            </w:r>
            <w:r w:rsidRPr="00485634">
              <w:rPr>
                <w:rFonts w:ascii="Times New Roman" w:hAnsi="Times New Roman" w:cs="Times New Roman"/>
                <w:sz w:val="24"/>
                <w:szCs w:val="24"/>
              </w:rPr>
              <w:t xml:space="preserve"> tekrar başvurması halinde uygulanır)</w:t>
            </w:r>
          </w:p>
        </w:tc>
        <w:tc>
          <w:tcPr>
            <w:tcW w:w="2141" w:type="dxa"/>
            <w:tcBorders>
              <w:top w:val="single" w:sz="4" w:space="0" w:color="000000"/>
              <w:left w:val="single" w:sz="4" w:space="0" w:color="000000"/>
              <w:bottom w:val="single" w:sz="4" w:space="0" w:color="000000"/>
              <w:right w:val="single" w:sz="4" w:space="0" w:color="000000"/>
            </w:tcBorders>
          </w:tcPr>
          <w:p w:rsidR="00485634" w:rsidRPr="00485634" w:rsidRDefault="00485634" w:rsidP="00EF2DC9">
            <w:pPr>
              <w:kinsoku w:val="0"/>
              <w:overflowPunct w:val="0"/>
              <w:autoSpaceDE w:val="0"/>
              <w:autoSpaceDN w:val="0"/>
              <w:adjustRightInd w:val="0"/>
              <w:spacing w:after="0" w:line="240" w:lineRule="auto"/>
              <w:rPr>
                <w:rFonts w:ascii="Times New Roman" w:hAnsi="Times New Roman" w:cs="Times New Roman"/>
                <w:sz w:val="24"/>
                <w:szCs w:val="24"/>
              </w:rPr>
            </w:pPr>
          </w:p>
          <w:p w:rsidR="00485634" w:rsidRPr="00485634" w:rsidRDefault="00485634" w:rsidP="00485634">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485634">
              <w:rPr>
                <w:rFonts w:ascii="Times New Roman" w:hAnsi="Times New Roman" w:cs="Times New Roman"/>
                <w:sz w:val="24"/>
                <w:szCs w:val="24"/>
              </w:rPr>
              <w:t>-5 puan</w:t>
            </w:r>
          </w:p>
        </w:tc>
      </w:tr>
      <w:tr w:rsidR="002628EB" w:rsidRPr="00EC3F84" w:rsidTr="00485634">
        <w:trPr>
          <w:trHeight w:val="70"/>
        </w:trPr>
        <w:tc>
          <w:tcPr>
            <w:tcW w:w="5514" w:type="dxa"/>
            <w:tcBorders>
              <w:top w:val="single" w:sz="4" w:space="0" w:color="000000"/>
              <w:left w:val="single" w:sz="4" w:space="0" w:color="000000"/>
              <w:bottom w:val="single" w:sz="4" w:space="0" w:color="000000"/>
              <w:right w:val="single" w:sz="4" w:space="0" w:color="000000"/>
            </w:tcBorders>
          </w:tcPr>
          <w:p w:rsidR="002628EB" w:rsidRPr="002628EB" w:rsidRDefault="002628EB" w:rsidP="002628EB">
            <w:pPr>
              <w:kinsoku w:val="0"/>
              <w:overflowPunct w:val="0"/>
              <w:autoSpaceDE w:val="0"/>
              <w:autoSpaceDN w:val="0"/>
              <w:adjustRightInd w:val="0"/>
              <w:spacing w:after="0" w:line="240" w:lineRule="auto"/>
              <w:rPr>
                <w:rFonts w:ascii="Times New Roman" w:hAnsi="Times New Roman" w:cs="Times New Roman"/>
                <w:color w:val="FF0000"/>
                <w:sz w:val="24"/>
                <w:szCs w:val="24"/>
              </w:rPr>
            </w:pPr>
            <w:r w:rsidRPr="002628EB">
              <w:rPr>
                <w:rFonts w:ascii="Times New Roman" w:hAnsi="Times New Roman" w:cs="Times New Roman"/>
                <w:color w:val="FF0000"/>
                <w:sz w:val="24"/>
                <w:szCs w:val="24"/>
              </w:rPr>
              <w:t xml:space="preserve">Başvuru esnasında davet/kabul mektubu ibraz etme </w:t>
            </w:r>
          </w:p>
        </w:tc>
        <w:tc>
          <w:tcPr>
            <w:tcW w:w="2141" w:type="dxa"/>
            <w:tcBorders>
              <w:top w:val="single" w:sz="4" w:space="0" w:color="000000"/>
              <w:left w:val="single" w:sz="4" w:space="0" w:color="000000"/>
              <w:bottom w:val="single" w:sz="4" w:space="0" w:color="000000"/>
              <w:right w:val="single" w:sz="4" w:space="0" w:color="000000"/>
            </w:tcBorders>
          </w:tcPr>
          <w:p w:rsidR="002628EB" w:rsidRPr="002628EB" w:rsidRDefault="002628EB" w:rsidP="002628EB">
            <w:pPr>
              <w:kinsoku w:val="0"/>
              <w:overflowPunct w:val="0"/>
              <w:autoSpaceDE w:val="0"/>
              <w:autoSpaceDN w:val="0"/>
              <w:adjustRightInd w:val="0"/>
              <w:spacing w:after="0" w:line="240" w:lineRule="auto"/>
              <w:jc w:val="center"/>
              <w:rPr>
                <w:rFonts w:ascii="Times New Roman" w:hAnsi="Times New Roman" w:cs="Times New Roman"/>
                <w:color w:val="FF0000"/>
                <w:sz w:val="24"/>
                <w:szCs w:val="24"/>
              </w:rPr>
            </w:pPr>
            <w:r w:rsidRPr="002628EB">
              <w:rPr>
                <w:rFonts w:ascii="Times New Roman" w:hAnsi="Times New Roman" w:cs="Times New Roman"/>
                <w:color w:val="FF0000"/>
                <w:sz w:val="24"/>
                <w:szCs w:val="24"/>
              </w:rPr>
              <w:t>+10 puan</w:t>
            </w:r>
          </w:p>
        </w:tc>
      </w:tr>
    </w:tbl>
    <w:p w:rsidR="006959E6" w:rsidRDefault="006959E6" w:rsidP="00485634">
      <w:pPr>
        <w:rPr>
          <w:rFonts w:ascii="Times New Roman" w:eastAsia="Times New Roman" w:hAnsi="Times New Roman" w:cs="Times New Roman"/>
          <w:b/>
          <w:bCs/>
          <w:color w:val="373737"/>
          <w:sz w:val="20"/>
          <w:szCs w:val="20"/>
          <w:lang w:eastAsia="tr-TR"/>
        </w:rPr>
      </w:pPr>
    </w:p>
    <w:p w:rsidR="00634E33" w:rsidRPr="00142C3E" w:rsidRDefault="00634E33" w:rsidP="00485634">
      <w:pPr>
        <w:rPr>
          <w:rFonts w:ascii="Times New Roman" w:eastAsia="Times New Roman" w:hAnsi="Times New Roman" w:cs="Times New Roman"/>
          <w:bCs/>
          <w:color w:val="373737"/>
          <w:sz w:val="24"/>
          <w:szCs w:val="24"/>
          <w:lang w:eastAsia="tr-TR"/>
        </w:rPr>
      </w:pPr>
    </w:p>
    <w:p w:rsidR="00485634" w:rsidRPr="00142C3E" w:rsidRDefault="00485634" w:rsidP="00485634">
      <w:pPr>
        <w:jc w:val="center"/>
        <w:rPr>
          <w:rFonts w:ascii="Times New Roman" w:eastAsia="Times New Roman" w:hAnsi="Times New Roman" w:cs="Times New Roman"/>
          <w:b/>
          <w:bCs/>
          <w:color w:val="373737"/>
          <w:sz w:val="24"/>
          <w:szCs w:val="24"/>
          <w:lang w:eastAsia="tr-TR"/>
        </w:rPr>
      </w:pPr>
      <w:r w:rsidRPr="00142C3E">
        <w:rPr>
          <w:rFonts w:ascii="Times New Roman" w:eastAsia="Times New Roman" w:hAnsi="Times New Roman" w:cs="Times New Roman"/>
          <w:b/>
          <w:bCs/>
          <w:color w:val="373737"/>
          <w:sz w:val="24"/>
          <w:szCs w:val="24"/>
          <w:lang w:eastAsia="tr-TR"/>
        </w:rPr>
        <w:t>ÖNEMLİ NOTLAR</w:t>
      </w:r>
    </w:p>
    <w:tbl>
      <w:tblPr>
        <w:tblW w:w="920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06"/>
      </w:tblGrid>
      <w:tr w:rsidR="00485634" w:rsidRPr="00EC3F84" w:rsidTr="00EF2DC9">
        <w:trPr>
          <w:tblCellSpacing w:w="0" w:type="dxa"/>
        </w:trPr>
        <w:tc>
          <w:tcPr>
            <w:tcW w:w="9206" w:type="dxa"/>
            <w:tcBorders>
              <w:top w:val="outset" w:sz="6" w:space="0" w:color="auto"/>
              <w:left w:val="outset" w:sz="6" w:space="0" w:color="auto"/>
              <w:bottom w:val="outset" w:sz="6" w:space="0" w:color="auto"/>
              <w:right w:val="outset" w:sz="6" w:space="0" w:color="auto"/>
            </w:tcBorders>
            <w:hideMark/>
          </w:tcPr>
          <w:p w:rsidR="00485634" w:rsidRPr="00EC3F84" w:rsidRDefault="00485634" w:rsidP="00EF2DC9">
            <w:pPr>
              <w:rPr>
                <w:rFonts w:ascii="Times New Roman" w:eastAsia="Times New Roman" w:hAnsi="Times New Roman" w:cs="Times New Roman"/>
                <w:bCs/>
                <w:color w:val="373737"/>
                <w:sz w:val="20"/>
                <w:szCs w:val="20"/>
                <w:lang w:eastAsia="tr-TR"/>
              </w:rPr>
            </w:pPr>
            <w:r w:rsidRPr="00EC3F84">
              <w:rPr>
                <w:rFonts w:ascii="Times New Roman" w:eastAsia="Times New Roman" w:hAnsi="Times New Roman" w:cs="Times New Roman"/>
                <w:bCs/>
                <w:color w:val="373737"/>
                <w:sz w:val="20"/>
                <w:szCs w:val="20"/>
                <w:lang w:eastAsia="tr-TR"/>
              </w:rPr>
              <w:t>Daha önce Erasmus+ kapsamında hibeli/hibesiz olarak hareketlilikte bulunanlar, hareketlilikten tekrar yararlanabilir.</w:t>
            </w:r>
          </w:p>
        </w:tc>
      </w:tr>
      <w:tr w:rsidR="00485634" w:rsidRPr="00EC3F84" w:rsidTr="00EF2DC9">
        <w:trPr>
          <w:tblCellSpacing w:w="0" w:type="dxa"/>
        </w:trPr>
        <w:tc>
          <w:tcPr>
            <w:tcW w:w="9206" w:type="dxa"/>
            <w:tcBorders>
              <w:top w:val="outset" w:sz="6" w:space="0" w:color="auto"/>
              <w:left w:val="outset" w:sz="6" w:space="0" w:color="auto"/>
              <w:bottom w:val="outset" w:sz="6" w:space="0" w:color="auto"/>
              <w:right w:val="outset" w:sz="6" w:space="0" w:color="auto"/>
            </w:tcBorders>
            <w:hideMark/>
          </w:tcPr>
          <w:p w:rsidR="00485634" w:rsidRPr="00EC3F84" w:rsidRDefault="00485634" w:rsidP="00EF2DC9">
            <w:pPr>
              <w:rPr>
                <w:rFonts w:ascii="Times New Roman" w:eastAsia="Times New Roman" w:hAnsi="Times New Roman" w:cs="Times New Roman"/>
                <w:bCs/>
                <w:color w:val="373737"/>
                <w:sz w:val="20"/>
                <w:szCs w:val="20"/>
                <w:lang w:eastAsia="tr-TR"/>
              </w:rPr>
            </w:pPr>
            <w:r w:rsidRPr="00EC3F84">
              <w:rPr>
                <w:rFonts w:ascii="Times New Roman" w:eastAsia="Times New Roman" w:hAnsi="Times New Roman" w:cs="Times New Roman"/>
                <w:bCs/>
                <w:color w:val="373737"/>
                <w:sz w:val="20"/>
                <w:szCs w:val="20"/>
                <w:lang w:eastAsia="tr-TR"/>
              </w:rPr>
              <w:lastRenderedPageBreak/>
              <w:t>Her öğrenci Erasmus+ kapsamında bulunduğu her öğrenim kademesinde (lisans, yükseklisans, doktora) daha önce yararlandığı faaliyet süresi dâhil hibeli veya hibesiz en fazla toplam 12 ay öğrenim ve/veya staj hareketliliğinden yararlanabilir.</w:t>
            </w:r>
          </w:p>
        </w:tc>
      </w:tr>
      <w:tr w:rsidR="00485634" w:rsidRPr="00EC3F84" w:rsidTr="00EF2DC9">
        <w:trPr>
          <w:tblCellSpacing w:w="0" w:type="dxa"/>
        </w:trPr>
        <w:tc>
          <w:tcPr>
            <w:tcW w:w="9206" w:type="dxa"/>
            <w:tcBorders>
              <w:top w:val="outset" w:sz="6" w:space="0" w:color="auto"/>
              <w:left w:val="outset" w:sz="6" w:space="0" w:color="auto"/>
              <w:bottom w:val="outset" w:sz="6" w:space="0" w:color="auto"/>
              <w:right w:val="outset" w:sz="6" w:space="0" w:color="auto"/>
            </w:tcBorders>
            <w:hideMark/>
          </w:tcPr>
          <w:p w:rsidR="00485634" w:rsidRPr="00EC3F84" w:rsidRDefault="00485634" w:rsidP="00EF2DC9">
            <w:pPr>
              <w:rPr>
                <w:rFonts w:ascii="Times New Roman" w:eastAsia="Times New Roman" w:hAnsi="Times New Roman" w:cs="Times New Roman"/>
                <w:bCs/>
                <w:color w:val="373737"/>
                <w:sz w:val="20"/>
                <w:szCs w:val="20"/>
                <w:lang w:eastAsia="tr-TR"/>
              </w:rPr>
            </w:pPr>
            <w:r w:rsidRPr="00EC3F84">
              <w:rPr>
                <w:rFonts w:ascii="Times New Roman" w:eastAsia="Times New Roman" w:hAnsi="Times New Roman" w:cs="Times New Roman"/>
                <w:bCs/>
                <w:color w:val="373737"/>
                <w:sz w:val="20"/>
                <w:szCs w:val="20"/>
                <w:lang w:eastAsia="tr-TR"/>
              </w:rPr>
              <w:t>Başvuruda bulunan her öğrenci Erasmus+ Uygulama El Kitabı’nda yer alan şartları kabul etmiş sayılır ve oluşabilecek her durumda ilgili dokümanlardaki bilgilere göre karar verilir.</w:t>
            </w:r>
          </w:p>
          <w:p w:rsidR="00485634" w:rsidRPr="00E13828" w:rsidRDefault="00E13828" w:rsidP="00E13828">
            <w:pPr>
              <w:numPr>
                <w:ilvl w:val="0"/>
                <w:numId w:val="1"/>
              </w:numPr>
              <w:shd w:val="clear" w:color="auto" w:fill="FFFFFF"/>
              <w:spacing w:after="0" w:line="240" w:lineRule="auto"/>
              <w:ind w:left="0"/>
              <w:rPr>
                <w:rFonts w:ascii="Times New Roman" w:eastAsia="Times New Roman" w:hAnsi="Times New Roman" w:cs="Times New Roman"/>
                <w:bCs/>
                <w:color w:val="373737"/>
                <w:sz w:val="20"/>
                <w:szCs w:val="20"/>
                <w:u w:val="single"/>
                <w:lang w:eastAsia="tr-TR"/>
              </w:rPr>
            </w:pPr>
            <w:r w:rsidRPr="00E13828">
              <w:rPr>
                <w:b/>
                <w:color w:val="5B9BD5" w:themeColor="accent1"/>
                <w:u w:val="single"/>
              </w:rPr>
              <w:t>https://erasmus.subu.edu.tr/sites/erasmus.subu.edu.tr/files/inline-files/2020-uygulama-el-kitab%C4%B1.pdf</w:t>
            </w:r>
          </w:p>
        </w:tc>
      </w:tr>
      <w:tr w:rsidR="00485634" w:rsidRPr="00EC3F84" w:rsidTr="00135FF0">
        <w:trPr>
          <w:trHeight w:val="452"/>
          <w:tblCellSpacing w:w="0" w:type="dxa"/>
        </w:trPr>
        <w:tc>
          <w:tcPr>
            <w:tcW w:w="9206" w:type="dxa"/>
            <w:tcBorders>
              <w:top w:val="outset" w:sz="6" w:space="0" w:color="auto"/>
              <w:left w:val="outset" w:sz="6" w:space="0" w:color="auto"/>
              <w:bottom w:val="outset" w:sz="6" w:space="0" w:color="auto"/>
              <w:right w:val="outset" w:sz="6" w:space="0" w:color="auto"/>
            </w:tcBorders>
          </w:tcPr>
          <w:p w:rsidR="00485634" w:rsidRPr="00135FF0" w:rsidRDefault="00485634" w:rsidP="00EF2DC9">
            <w:pPr>
              <w:numPr>
                <w:ilvl w:val="0"/>
                <w:numId w:val="1"/>
              </w:numPr>
              <w:shd w:val="clear" w:color="auto" w:fill="FFFFFF"/>
              <w:spacing w:after="0" w:line="240" w:lineRule="auto"/>
              <w:ind w:left="0"/>
              <w:rPr>
                <w:rFonts w:ascii="Times New Roman" w:eastAsia="Times New Roman" w:hAnsi="Times New Roman" w:cs="Times New Roman"/>
                <w:color w:val="373737"/>
                <w:sz w:val="20"/>
                <w:szCs w:val="20"/>
                <w:lang w:eastAsia="tr-TR"/>
              </w:rPr>
            </w:pPr>
            <w:r w:rsidRPr="00EC3F84">
              <w:rPr>
                <w:rFonts w:ascii="Times New Roman" w:eastAsia="Times New Roman" w:hAnsi="Times New Roman" w:cs="Times New Roman"/>
                <w:color w:val="373737"/>
                <w:sz w:val="20"/>
                <w:szCs w:val="20"/>
                <w:lang w:eastAsia="tr-TR"/>
              </w:rPr>
              <w:t xml:space="preserve">Faaliyete katılacak öğrencilerin tam zamanlı öğrenciler olması gerekir. </w:t>
            </w:r>
          </w:p>
        </w:tc>
      </w:tr>
      <w:tr w:rsidR="00485634" w:rsidRPr="00EC3F84" w:rsidTr="00EF2DC9">
        <w:trPr>
          <w:tblCellSpacing w:w="0" w:type="dxa"/>
        </w:trPr>
        <w:tc>
          <w:tcPr>
            <w:tcW w:w="9206" w:type="dxa"/>
            <w:tcBorders>
              <w:top w:val="outset" w:sz="6" w:space="0" w:color="auto"/>
              <w:left w:val="outset" w:sz="6" w:space="0" w:color="auto"/>
              <w:bottom w:val="outset" w:sz="6" w:space="0" w:color="auto"/>
              <w:right w:val="outset" w:sz="6" w:space="0" w:color="auto"/>
            </w:tcBorders>
          </w:tcPr>
          <w:p w:rsidR="00485634" w:rsidRPr="00EC3F84" w:rsidRDefault="00485634" w:rsidP="00485634">
            <w:pPr>
              <w:numPr>
                <w:ilvl w:val="0"/>
                <w:numId w:val="1"/>
              </w:numPr>
              <w:shd w:val="clear" w:color="auto" w:fill="FFFFFF"/>
              <w:spacing w:after="0" w:line="240" w:lineRule="auto"/>
              <w:ind w:left="0"/>
              <w:rPr>
                <w:rFonts w:ascii="Times New Roman" w:eastAsia="Times New Roman" w:hAnsi="Times New Roman" w:cs="Times New Roman"/>
                <w:color w:val="373737"/>
                <w:sz w:val="20"/>
                <w:szCs w:val="20"/>
                <w:lang w:eastAsia="tr-TR"/>
              </w:rPr>
            </w:pPr>
            <w:r w:rsidRPr="00EC3F84">
              <w:rPr>
                <w:rFonts w:ascii="Times New Roman" w:eastAsia="Times New Roman" w:hAnsi="Times New Roman" w:cs="Times New Roman"/>
                <w:color w:val="373737"/>
                <w:sz w:val="20"/>
                <w:szCs w:val="20"/>
                <w:u w:val="single"/>
                <w:lang w:eastAsia="tr-TR"/>
              </w:rPr>
              <w:t>Yedek Yerleştirme</w:t>
            </w:r>
            <w:r w:rsidRPr="00EC3F84">
              <w:rPr>
                <w:rFonts w:ascii="Times New Roman" w:eastAsia="Times New Roman" w:hAnsi="Times New Roman" w:cs="Times New Roman"/>
                <w:color w:val="373737"/>
                <w:sz w:val="20"/>
                <w:szCs w:val="20"/>
                <w:lang w:eastAsia="tr-TR"/>
              </w:rPr>
              <w:t>; İptal eden öğrenciler olması durumunda, yedek listede bulunan öğrenciler arasından, karşı kurumun akademik takvimine göre yapılacaktır. Asil aday öğrenci listesinde bulunan bir öğrencinin hakkını iptal ettirmesi, yedek yerleştirmeden yararlanmasını hiçbir şekilde sağlamaz. Bu sebeple tercih yaparken bilinçli şekilde davranınız.</w:t>
            </w:r>
          </w:p>
          <w:p w:rsidR="00485634" w:rsidRPr="00EC3F84" w:rsidRDefault="00485634" w:rsidP="00485634">
            <w:pPr>
              <w:numPr>
                <w:ilvl w:val="0"/>
                <w:numId w:val="1"/>
              </w:numPr>
              <w:shd w:val="clear" w:color="auto" w:fill="FFFFFF"/>
              <w:spacing w:after="0" w:line="240" w:lineRule="auto"/>
              <w:ind w:left="0"/>
              <w:rPr>
                <w:rFonts w:ascii="Times New Roman" w:eastAsia="Times New Roman" w:hAnsi="Times New Roman" w:cs="Times New Roman"/>
                <w:bCs/>
                <w:color w:val="373737"/>
                <w:sz w:val="20"/>
                <w:szCs w:val="20"/>
                <w:lang w:eastAsia="tr-TR"/>
              </w:rPr>
            </w:pPr>
          </w:p>
        </w:tc>
      </w:tr>
      <w:tr w:rsidR="00485634" w:rsidRPr="00EC3F84" w:rsidTr="00135FF0">
        <w:trPr>
          <w:trHeight w:val="305"/>
          <w:tblCellSpacing w:w="0" w:type="dxa"/>
        </w:trPr>
        <w:tc>
          <w:tcPr>
            <w:tcW w:w="9206" w:type="dxa"/>
            <w:tcBorders>
              <w:top w:val="outset" w:sz="6" w:space="0" w:color="auto"/>
              <w:left w:val="outset" w:sz="6" w:space="0" w:color="auto"/>
              <w:bottom w:val="outset" w:sz="6" w:space="0" w:color="auto"/>
              <w:right w:val="outset" w:sz="6" w:space="0" w:color="auto"/>
            </w:tcBorders>
          </w:tcPr>
          <w:p w:rsidR="00485634" w:rsidRPr="00EC3F84" w:rsidRDefault="00485634" w:rsidP="00485634">
            <w:pPr>
              <w:numPr>
                <w:ilvl w:val="0"/>
                <w:numId w:val="1"/>
              </w:numPr>
              <w:shd w:val="clear" w:color="auto" w:fill="FFFFFF"/>
              <w:spacing w:after="0" w:line="240" w:lineRule="auto"/>
              <w:ind w:left="0"/>
              <w:rPr>
                <w:rFonts w:ascii="Times New Roman" w:eastAsia="Times New Roman" w:hAnsi="Times New Roman" w:cs="Times New Roman"/>
                <w:color w:val="373737"/>
                <w:sz w:val="20"/>
                <w:szCs w:val="20"/>
                <w:lang w:eastAsia="tr-TR"/>
              </w:rPr>
            </w:pPr>
            <w:r w:rsidRPr="00EC3F84">
              <w:rPr>
                <w:rFonts w:ascii="Times New Roman" w:eastAsia="Times New Roman" w:hAnsi="Times New Roman" w:cs="Times New Roman"/>
                <w:color w:val="373737"/>
                <w:sz w:val="20"/>
                <w:szCs w:val="20"/>
                <w:lang w:eastAsia="tr-TR"/>
              </w:rPr>
              <w:t>Kayıt donduran öğrenciler hareketlilikten yara</w:t>
            </w:r>
            <w:r w:rsidR="00135FF0">
              <w:rPr>
                <w:rFonts w:ascii="Times New Roman" w:eastAsia="Times New Roman" w:hAnsi="Times New Roman" w:cs="Times New Roman"/>
                <w:color w:val="373737"/>
                <w:sz w:val="20"/>
                <w:szCs w:val="20"/>
                <w:lang w:eastAsia="tr-TR"/>
              </w:rPr>
              <w:t xml:space="preserve">rlanamaz. </w:t>
            </w:r>
            <w:r w:rsidRPr="00EC3F84">
              <w:rPr>
                <w:rFonts w:ascii="Times New Roman" w:eastAsia="Times New Roman" w:hAnsi="Times New Roman" w:cs="Times New Roman"/>
                <w:color w:val="373737"/>
                <w:sz w:val="20"/>
                <w:szCs w:val="20"/>
                <w:lang w:eastAsia="tr-TR"/>
              </w:rPr>
              <w:t> </w:t>
            </w:r>
          </w:p>
          <w:p w:rsidR="00485634" w:rsidRPr="00EC3F84" w:rsidRDefault="00485634" w:rsidP="00EF2DC9">
            <w:pPr>
              <w:rPr>
                <w:rFonts w:ascii="Times New Roman" w:eastAsia="Times New Roman" w:hAnsi="Times New Roman" w:cs="Times New Roman"/>
                <w:bCs/>
                <w:color w:val="373737"/>
                <w:sz w:val="20"/>
                <w:szCs w:val="20"/>
                <w:lang w:eastAsia="tr-TR"/>
              </w:rPr>
            </w:pPr>
          </w:p>
        </w:tc>
      </w:tr>
      <w:tr w:rsidR="00485634" w:rsidRPr="00EC3F84" w:rsidTr="00135FF0">
        <w:trPr>
          <w:trHeight w:val="484"/>
          <w:tblCellSpacing w:w="0" w:type="dxa"/>
        </w:trPr>
        <w:tc>
          <w:tcPr>
            <w:tcW w:w="9206" w:type="dxa"/>
            <w:tcBorders>
              <w:top w:val="outset" w:sz="6" w:space="0" w:color="auto"/>
              <w:left w:val="outset" w:sz="6" w:space="0" w:color="auto"/>
              <w:bottom w:val="outset" w:sz="6" w:space="0" w:color="auto"/>
              <w:right w:val="outset" w:sz="6" w:space="0" w:color="auto"/>
            </w:tcBorders>
          </w:tcPr>
          <w:p w:rsidR="00485634" w:rsidRPr="00E13828" w:rsidRDefault="00485634" w:rsidP="00E13828">
            <w:pPr>
              <w:numPr>
                <w:ilvl w:val="0"/>
                <w:numId w:val="1"/>
              </w:numPr>
              <w:shd w:val="clear" w:color="auto" w:fill="FFFFFF"/>
              <w:spacing w:after="0" w:line="240" w:lineRule="auto"/>
              <w:ind w:left="0"/>
              <w:rPr>
                <w:rFonts w:ascii="Times New Roman" w:eastAsia="Times New Roman" w:hAnsi="Times New Roman" w:cs="Times New Roman"/>
                <w:color w:val="373737"/>
                <w:sz w:val="20"/>
                <w:szCs w:val="20"/>
                <w:lang w:eastAsia="tr-TR"/>
              </w:rPr>
            </w:pPr>
            <w:r w:rsidRPr="00EC3F84">
              <w:rPr>
                <w:rFonts w:ascii="Times New Roman" w:eastAsia="Times New Roman" w:hAnsi="Times New Roman" w:cs="Times New Roman"/>
                <w:color w:val="373737"/>
                <w:sz w:val="20"/>
                <w:szCs w:val="20"/>
                <w:lang w:eastAsia="tr-TR"/>
              </w:rPr>
              <w:t xml:space="preserve">Burada belirtilemeyen tüm hususlarda, </w:t>
            </w:r>
            <w:r w:rsidR="00E13828">
              <w:rPr>
                <w:rFonts w:ascii="Times New Roman" w:eastAsia="Times New Roman" w:hAnsi="Times New Roman" w:cs="Times New Roman"/>
                <w:color w:val="373737"/>
                <w:sz w:val="20"/>
                <w:szCs w:val="20"/>
                <w:lang w:eastAsia="tr-TR"/>
              </w:rPr>
              <w:t>2020 yılı</w:t>
            </w:r>
            <w:r w:rsidRPr="00EC3F84">
              <w:rPr>
                <w:rFonts w:ascii="Times New Roman" w:eastAsia="Times New Roman" w:hAnsi="Times New Roman" w:cs="Times New Roman"/>
                <w:color w:val="373737"/>
                <w:sz w:val="20"/>
                <w:szCs w:val="20"/>
                <w:lang w:eastAsia="tr-TR"/>
              </w:rPr>
              <w:t xml:space="preserve"> Erasmus uygulama el kitabı hükümleri uygulanır. </w:t>
            </w:r>
          </w:p>
        </w:tc>
      </w:tr>
    </w:tbl>
    <w:p w:rsidR="00D73F99" w:rsidRDefault="00D73F99" w:rsidP="001F479F">
      <w:pPr>
        <w:jc w:val="center"/>
        <w:rPr>
          <w:rFonts w:ascii="Times New Roman" w:eastAsia="Times New Roman" w:hAnsi="Times New Roman" w:cs="Times New Roman"/>
          <w:b/>
          <w:bCs/>
          <w:color w:val="373737"/>
          <w:sz w:val="24"/>
          <w:szCs w:val="24"/>
          <w:lang w:eastAsia="tr-TR"/>
        </w:rPr>
      </w:pPr>
    </w:p>
    <w:p w:rsidR="00485634" w:rsidRPr="00142C3E" w:rsidRDefault="00485634" w:rsidP="001F479F">
      <w:pPr>
        <w:jc w:val="center"/>
        <w:rPr>
          <w:sz w:val="24"/>
          <w:szCs w:val="24"/>
        </w:rPr>
      </w:pPr>
      <w:r w:rsidRPr="00142C3E">
        <w:rPr>
          <w:rFonts w:ascii="Times New Roman" w:eastAsia="Times New Roman" w:hAnsi="Times New Roman" w:cs="Times New Roman"/>
          <w:b/>
          <w:bCs/>
          <w:color w:val="373737"/>
          <w:sz w:val="24"/>
          <w:szCs w:val="24"/>
          <w:lang w:eastAsia="tr-TR"/>
        </w:rPr>
        <w:t>ERASMUS+ ÖĞRENCİSİNİN SORUMLULUKLARI</w:t>
      </w:r>
    </w:p>
    <w:tbl>
      <w:tblPr>
        <w:tblW w:w="91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65"/>
      </w:tblGrid>
      <w:tr w:rsidR="00485634" w:rsidRPr="00EC3F84" w:rsidTr="00EF2DC9">
        <w:trPr>
          <w:tblCellSpacing w:w="0" w:type="dxa"/>
        </w:trPr>
        <w:tc>
          <w:tcPr>
            <w:tcW w:w="9165" w:type="dxa"/>
            <w:tcBorders>
              <w:top w:val="outset" w:sz="6" w:space="0" w:color="auto"/>
              <w:left w:val="outset" w:sz="6" w:space="0" w:color="auto"/>
              <w:bottom w:val="outset" w:sz="6" w:space="0" w:color="auto"/>
              <w:right w:val="outset" w:sz="6" w:space="0" w:color="auto"/>
            </w:tcBorders>
            <w:hideMark/>
          </w:tcPr>
          <w:p w:rsidR="00485634" w:rsidRPr="00EC3F84" w:rsidRDefault="00D73F99" w:rsidP="00D73F99">
            <w:pPr>
              <w:rPr>
                <w:rFonts w:ascii="Times New Roman" w:eastAsia="Times New Roman" w:hAnsi="Times New Roman" w:cs="Times New Roman"/>
                <w:bCs/>
                <w:color w:val="373737"/>
                <w:sz w:val="20"/>
                <w:szCs w:val="20"/>
                <w:lang w:eastAsia="tr-TR"/>
              </w:rPr>
            </w:pPr>
            <w:r>
              <w:rPr>
                <w:rFonts w:ascii="Times New Roman" w:eastAsia="Times New Roman" w:hAnsi="Times New Roman" w:cs="Times New Roman"/>
                <w:bCs/>
                <w:color w:val="373737"/>
                <w:sz w:val="20"/>
                <w:szCs w:val="20"/>
                <w:lang w:eastAsia="tr-TR"/>
              </w:rPr>
              <w:t xml:space="preserve">Her öğrenci davet mektubunu kendi temin etmelidir.  </w:t>
            </w:r>
          </w:p>
        </w:tc>
      </w:tr>
      <w:tr w:rsidR="00485634" w:rsidRPr="00EC3F84" w:rsidTr="00EF2DC9">
        <w:trPr>
          <w:tblCellSpacing w:w="0" w:type="dxa"/>
        </w:trPr>
        <w:tc>
          <w:tcPr>
            <w:tcW w:w="9165" w:type="dxa"/>
            <w:tcBorders>
              <w:top w:val="outset" w:sz="6" w:space="0" w:color="auto"/>
              <w:left w:val="outset" w:sz="6" w:space="0" w:color="auto"/>
              <w:bottom w:val="outset" w:sz="6" w:space="0" w:color="auto"/>
              <w:right w:val="outset" w:sz="6" w:space="0" w:color="auto"/>
            </w:tcBorders>
            <w:hideMark/>
          </w:tcPr>
          <w:p w:rsidR="00485634" w:rsidRPr="00EC3F84" w:rsidRDefault="00485634" w:rsidP="00D73F99">
            <w:pPr>
              <w:rPr>
                <w:rFonts w:ascii="Times New Roman" w:eastAsia="Times New Roman" w:hAnsi="Times New Roman" w:cs="Times New Roman"/>
                <w:bCs/>
                <w:color w:val="373737"/>
                <w:sz w:val="20"/>
                <w:szCs w:val="20"/>
                <w:lang w:eastAsia="tr-TR"/>
              </w:rPr>
            </w:pPr>
            <w:r w:rsidRPr="00EC3F84">
              <w:rPr>
                <w:rFonts w:ascii="Times New Roman" w:eastAsia="Times New Roman" w:hAnsi="Times New Roman" w:cs="Times New Roman"/>
                <w:bCs/>
                <w:color w:val="373737"/>
                <w:sz w:val="20"/>
                <w:szCs w:val="20"/>
                <w:lang w:eastAsia="tr-TR"/>
              </w:rPr>
              <w:t xml:space="preserve">Gidilecek </w:t>
            </w:r>
            <w:r w:rsidR="00D73F99">
              <w:rPr>
                <w:rFonts w:ascii="Times New Roman" w:eastAsia="Times New Roman" w:hAnsi="Times New Roman" w:cs="Times New Roman"/>
                <w:bCs/>
                <w:color w:val="373737"/>
                <w:sz w:val="20"/>
                <w:szCs w:val="20"/>
                <w:lang w:eastAsia="tr-TR"/>
              </w:rPr>
              <w:t>kurumun</w:t>
            </w:r>
            <w:r w:rsidRPr="00EC3F84">
              <w:rPr>
                <w:rFonts w:ascii="Times New Roman" w:eastAsia="Times New Roman" w:hAnsi="Times New Roman" w:cs="Times New Roman"/>
                <w:bCs/>
                <w:color w:val="373737"/>
                <w:sz w:val="20"/>
                <w:szCs w:val="20"/>
                <w:lang w:eastAsia="tr-TR"/>
              </w:rPr>
              <w:t xml:space="preserve"> belli bir dil yeterlilik belgesi/seviyesi isteyip istemediği mutlaka araştırılmalıdır. İsteniyorsa bu belge de edinilmelidir.</w:t>
            </w:r>
          </w:p>
        </w:tc>
      </w:tr>
      <w:tr w:rsidR="00485634" w:rsidRPr="00EC3F84" w:rsidTr="00EF2DC9">
        <w:trPr>
          <w:tblCellSpacing w:w="0" w:type="dxa"/>
        </w:trPr>
        <w:tc>
          <w:tcPr>
            <w:tcW w:w="9165" w:type="dxa"/>
            <w:tcBorders>
              <w:top w:val="outset" w:sz="6" w:space="0" w:color="auto"/>
              <w:left w:val="outset" w:sz="6" w:space="0" w:color="auto"/>
              <w:bottom w:val="outset" w:sz="6" w:space="0" w:color="auto"/>
              <w:right w:val="outset" w:sz="6" w:space="0" w:color="auto"/>
            </w:tcBorders>
            <w:hideMark/>
          </w:tcPr>
          <w:p w:rsidR="00485634" w:rsidRPr="00EC3F84" w:rsidRDefault="00485634" w:rsidP="00E13828">
            <w:pPr>
              <w:rPr>
                <w:rFonts w:ascii="Times New Roman" w:hAnsi="Times New Roman" w:cs="Times New Roman"/>
                <w:sz w:val="20"/>
                <w:szCs w:val="20"/>
              </w:rPr>
            </w:pPr>
            <w:r w:rsidRPr="00EC3F84">
              <w:rPr>
                <w:rFonts w:ascii="Times New Roman" w:eastAsia="Times New Roman" w:hAnsi="Times New Roman" w:cs="Times New Roman"/>
                <w:bCs/>
                <w:color w:val="373737"/>
                <w:sz w:val="20"/>
                <w:szCs w:val="20"/>
                <w:lang w:eastAsia="tr-TR"/>
              </w:rPr>
              <w:t xml:space="preserve">Öğrenci, dönem başında öğrencisi olduğu ilgili bölüme ait kaydını yenilemelidir. Ancak ders kaydı yapmasına gerek yoktur. Erasmus+ öğrencisi, gideceği </w:t>
            </w:r>
            <w:r w:rsidR="00D73F99">
              <w:rPr>
                <w:rFonts w:ascii="Times New Roman" w:eastAsia="Times New Roman" w:hAnsi="Times New Roman" w:cs="Times New Roman"/>
                <w:bCs/>
                <w:color w:val="373737"/>
                <w:sz w:val="20"/>
                <w:szCs w:val="20"/>
                <w:lang w:eastAsia="tr-TR"/>
              </w:rPr>
              <w:t>kuruma</w:t>
            </w:r>
            <w:r w:rsidRPr="00EC3F84">
              <w:rPr>
                <w:rFonts w:ascii="Times New Roman" w:eastAsia="Times New Roman" w:hAnsi="Times New Roman" w:cs="Times New Roman"/>
                <w:bCs/>
                <w:color w:val="373737"/>
                <w:sz w:val="20"/>
                <w:szCs w:val="20"/>
                <w:lang w:eastAsia="tr-TR"/>
              </w:rPr>
              <w:t xml:space="preserve"> herhangi bir kayıt ya da harç ücreti ödemez.</w:t>
            </w:r>
          </w:p>
        </w:tc>
      </w:tr>
    </w:tbl>
    <w:p w:rsidR="00485634" w:rsidRDefault="00485634" w:rsidP="00E13828"/>
    <w:sectPr w:rsidR="004856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6F5A"/>
    <w:multiLevelType w:val="multilevel"/>
    <w:tmpl w:val="2714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4F5B6C"/>
    <w:multiLevelType w:val="hybridMultilevel"/>
    <w:tmpl w:val="68142D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7651194"/>
    <w:multiLevelType w:val="multilevel"/>
    <w:tmpl w:val="1CDED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7F3F71"/>
    <w:multiLevelType w:val="hybridMultilevel"/>
    <w:tmpl w:val="2214D9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F33"/>
    <w:rsid w:val="000518A3"/>
    <w:rsid w:val="000605DE"/>
    <w:rsid w:val="00135FF0"/>
    <w:rsid w:val="00142C3E"/>
    <w:rsid w:val="001F479F"/>
    <w:rsid w:val="00246F7E"/>
    <w:rsid w:val="002628EB"/>
    <w:rsid w:val="002B70B7"/>
    <w:rsid w:val="00437E09"/>
    <w:rsid w:val="00485634"/>
    <w:rsid w:val="0050629F"/>
    <w:rsid w:val="005A4BC0"/>
    <w:rsid w:val="005C6809"/>
    <w:rsid w:val="00634E33"/>
    <w:rsid w:val="006959E6"/>
    <w:rsid w:val="007017C8"/>
    <w:rsid w:val="00705F33"/>
    <w:rsid w:val="00776D36"/>
    <w:rsid w:val="007800FB"/>
    <w:rsid w:val="008945C5"/>
    <w:rsid w:val="008B3E76"/>
    <w:rsid w:val="008C5C8A"/>
    <w:rsid w:val="00900D33"/>
    <w:rsid w:val="00987C7E"/>
    <w:rsid w:val="00994A74"/>
    <w:rsid w:val="00A82BE8"/>
    <w:rsid w:val="00AD40A4"/>
    <w:rsid w:val="00B81B20"/>
    <w:rsid w:val="00D73F99"/>
    <w:rsid w:val="00E138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F4AAD"/>
  <w15:chartTrackingRefBased/>
  <w15:docId w15:val="{2781B3BC-DA2F-439B-B59E-5F984FA5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1"/>
    <w:qFormat/>
    <w:rsid w:val="00987C7E"/>
    <w:pPr>
      <w:widowControl w:val="0"/>
      <w:autoSpaceDE w:val="0"/>
      <w:autoSpaceDN w:val="0"/>
      <w:spacing w:before="83" w:after="0" w:line="240" w:lineRule="auto"/>
      <w:ind w:left="1351"/>
      <w:outlineLvl w:val="2"/>
    </w:pPr>
    <w:rPr>
      <w:rFonts w:ascii="Cambria" w:eastAsia="Cambria" w:hAnsi="Cambria" w:cs="Cambria"/>
      <w:b/>
      <w:bCs/>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1"/>
    <w:rsid w:val="00987C7E"/>
    <w:rPr>
      <w:rFonts w:ascii="Cambria" w:eastAsia="Cambria" w:hAnsi="Cambria" w:cs="Cambria"/>
      <w:b/>
      <w:bCs/>
      <w:lang w:eastAsia="tr-TR" w:bidi="tr-TR"/>
    </w:rPr>
  </w:style>
  <w:style w:type="table" w:styleId="TabloKlavuzu">
    <w:name w:val="Table Grid"/>
    <w:basedOn w:val="NormalTablo"/>
    <w:uiPriority w:val="39"/>
    <w:rsid w:val="00987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987C7E"/>
    <w:rPr>
      <w:color w:val="0563C1" w:themeColor="hyperlink"/>
      <w:u w:val="single"/>
    </w:rPr>
  </w:style>
  <w:style w:type="paragraph" w:styleId="ListeParagraf">
    <w:name w:val="List Paragraph"/>
    <w:basedOn w:val="Normal"/>
    <w:uiPriority w:val="34"/>
    <w:qFormat/>
    <w:rsid w:val="006959E6"/>
    <w:pPr>
      <w:ind w:left="720"/>
      <w:contextualSpacing/>
    </w:pPr>
  </w:style>
  <w:style w:type="paragraph" w:customStyle="1" w:styleId="Default">
    <w:name w:val="Default"/>
    <w:rsid w:val="002628EB"/>
    <w:pPr>
      <w:autoSpaceDE w:val="0"/>
      <w:autoSpaceDN w:val="0"/>
      <w:adjustRightInd w:val="0"/>
      <w:spacing w:after="0" w:line="240" w:lineRule="auto"/>
    </w:pPr>
    <w:rPr>
      <w:rFonts w:ascii="Times New Roman" w:hAnsi="Times New Roman" w:cs="Times New Roman"/>
      <w:color w:val="000000"/>
      <w:sz w:val="24"/>
      <w:szCs w:val="24"/>
    </w:rPr>
  </w:style>
  <w:style w:type="character" w:styleId="Gl">
    <w:name w:val="Strong"/>
    <w:basedOn w:val="VarsaylanParagrafYazTipi"/>
    <w:uiPriority w:val="22"/>
    <w:qFormat/>
    <w:rsid w:val="00B81B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asmusbasvuru.ua.gov.tr" TargetMode="External"/><Relationship Id="rId3" Type="http://schemas.openxmlformats.org/officeDocument/2006/relationships/settings" Target="settings.xml"/><Relationship Id="rId7" Type="http://schemas.openxmlformats.org/officeDocument/2006/relationships/hyperlink" Target="https://www.turkiye.gov.tr/abevgpm-erasmus-ve-esc-basvurular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rasmusbasvuru.ua.gov.tr"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erasmus@subu.edu.tr" TargetMode="External"/><Relationship Id="rId4" Type="http://schemas.openxmlformats.org/officeDocument/2006/relationships/webSettings" Target="webSettings.xml"/><Relationship Id="rId9" Type="http://schemas.openxmlformats.org/officeDocument/2006/relationships/hyperlink" Target="https://denklik.yok.gov.tr/yabanci-dil-esdegerlikler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1</Pages>
  <Words>1921</Words>
  <Characters>10950</Characters>
  <Application>Microsoft Office Word</Application>
  <DocSecurity>0</DocSecurity>
  <Lines>91</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Sakarya University</Company>
  <LinksUpToDate>false</LinksUpToDate>
  <CharactersWithSpaces>12846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aidata</cp:lastModifiedBy>
  <cp:revision>26</cp:revision>
  <dcterms:created xsi:type="dcterms:W3CDTF">2019-12-24T07:38:00Z</dcterms:created>
  <dcterms:modified xsi:type="dcterms:W3CDTF">2022-12-13T14:09:00Z</dcterms:modified>
</cp:coreProperties>
</file>